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ED157">
      <w:pPr>
        <w:adjustRightInd w:val="0"/>
        <w:snapToGrid w:val="0"/>
        <w:spacing w:line="576" w:lineRule="exact"/>
        <w:jc w:val="left"/>
        <w:rPr>
          <w:rFonts w:hint="default" w:ascii="Times New Roman" w:hAnsi="Times New Roman" w:eastAsia="楷体_GB2312" w:cs="Times New Roman"/>
          <w:b/>
          <w:bCs/>
          <w:color w:val="auto"/>
          <w:sz w:val="28"/>
          <w:szCs w:val="28"/>
        </w:rPr>
      </w:pPr>
      <w:r>
        <w:rPr>
          <w:rFonts w:hint="default" w:ascii="Times New Roman" w:hAnsi="Times New Roman" w:eastAsia="楷体_GB2312" w:cs="Times New Roman"/>
          <w:b/>
          <w:bCs/>
          <w:color w:val="auto"/>
          <w:sz w:val="28"/>
          <w:szCs w:val="28"/>
        </w:rPr>
        <w:t>县十八届人大五次会议文件（</w:t>
      </w:r>
      <w:r>
        <w:rPr>
          <w:rFonts w:hint="eastAsia" w:ascii="Times New Roman" w:hAnsi="Times New Roman" w:eastAsia="楷体_GB2312" w:cs="Times New Roman"/>
          <w:b/>
          <w:bCs/>
          <w:color w:val="auto"/>
          <w:sz w:val="28"/>
          <w:szCs w:val="28"/>
          <w:lang w:val="en-US" w:eastAsia="zh-CN"/>
        </w:rPr>
        <w:t>六</w:t>
      </w:r>
      <w:r>
        <w:rPr>
          <w:rFonts w:hint="default" w:ascii="Times New Roman" w:hAnsi="Times New Roman" w:eastAsia="楷体_GB2312" w:cs="Times New Roman"/>
          <w:b/>
          <w:bCs/>
          <w:color w:val="auto"/>
          <w:sz w:val="28"/>
          <w:szCs w:val="28"/>
        </w:rPr>
        <w:t>）</w:t>
      </w:r>
    </w:p>
    <w:p w14:paraId="15C44B54">
      <w:pPr>
        <w:widowControl/>
        <w:spacing w:beforeLines="50" w:line="640" w:lineRule="exact"/>
        <w:rPr>
          <w:rFonts w:hint="default" w:ascii="Times New Roman" w:hAnsi="Times New Roman" w:cs="Times New Roman"/>
          <w:color w:val="auto"/>
          <w:sz w:val="44"/>
          <w:szCs w:val="44"/>
        </w:rPr>
      </w:pPr>
    </w:p>
    <w:p w14:paraId="26C5E133">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澧县人民检察院工作报告</w:t>
      </w:r>
    </w:p>
    <w:p w14:paraId="680D5253">
      <w:pPr>
        <w:keepNext w:val="0"/>
        <w:keepLines w:val="0"/>
        <w:pageBreakBefore w:val="0"/>
        <w:widowControl/>
        <w:kinsoku/>
        <w:wordWrap/>
        <w:overflowPunct/>
        <w:topLinePunct w:val="0"/>
        <w:autoSpaceDE/>
        <w:autoSpaceDN/>
        <w:bidi w:val="0"/>
        <w:adjustRightInd/>
        <w:snapToGrid/>
        <w:spacing w:beforeLines="50" w:line="52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——202</w:t>
      </w: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rPr>
        <w:t>年</w:t>
      </w: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rPr>
        <w:t>月</w:t>
      </w:r>
      <w:r>
        <w:rPr>
          <w:rFonts w:hint="default" w:ascii="Times New Roman" w:hAnsi="Times New Roman" w:eastAsia="楷体_GB2312" w:cs="Times New Roman"/>
          <w:color w:val="auto"/>
          <w:sz w:val="32"/>
          <w:szCs w:val="32"/>
          <w:lang w:val="en-US" w:eastAsia="zh-CN"/>
        </w:rPr>
        <w:t>28</w:t>
      </w:r>
      <w:r>
        <w:rPr>
          <w:rFonts w:hint="default" w:ascii="Times New Roman" w:hAnsi="Times New Roman" w:eastAsia="楷体_GB2312" w:cs="Times New Roman"/>
          <w:color w:val="auto"/>
          <w:sz w:val="32"/>
          <w:szCs w:val="32"/>
        </w:rPr>
        <w:t>日在澧县第十八届人民代表大会</w:t>
      </w:r>
    </w:p>
    <w:p w14:paraId="2FE3574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rPr>
        <w:t>次会议上</w:t>
      </w:r>
    </w:p>
    <w:p w14:paraId="2EF38EA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县人民检察院检察长  杨 仲</w:t>
      </w:r>
    </w:p>
    <w:p w14:paraId="2309BC44">
      <w:pPr>
        <w:widowControl/>
        <w:spacing w:line="560" w:lineRule="exact"/>
        <w:ind w:firstLine="640" w:firstLineChars="20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6564718C">
      <w:pPr>
        <w:keepNext w:val="0"/>
        <w:keepLines w:val="0"/>
        <w:pageBreakBefore w:val="0"/>
        <w:widowControl/>
        <w:kinsoku/>
        <w:wordWrap/>
        <w:overflowPunct/>
        <w:topLinePunct w:val="0"/>
        <w:autoSpaceDE/>
        <w:autoSpaceDN/>
        <w:bidi w:val="0"/>
        <w:adjustRightInd w:val="0"/>
        <w:snapToGrid/>
        <w:spacing w:line="60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各位代表：</w:t>
      </w:r>
    </w:p>
    <w:p w14:paraId="175F1C6A">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现在，我代表县检察院向大会报告工作，请予审议，并请各位政协委员和其他列席人员提出意见。</w:t>
      </w:r>
    </w:p>
    <w:p w14:paraId="6CBF6F8C">
      <w:pPr>
        <w:keepNext w:val="0"/>
        <w:keepLines w:val="0"/>
        <w:pageBreakBefore w:val="0"/>
        <w:widowControl/>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p>
    <w:p w14:paraId="0F2CA821">
      <w:pPr>
        <w:keepNext w:val="0"/>
        <w:keepLines w:val="0"/>
        <w:pageBreakBefore w:val="0"/>
        <w:widowControl/>
        <w:tabs>
          <w:tab w:val="left" w:pos="599"/>
        </w:tabs>
        <w:kinsoku/>
        <w:wordWrap/>
        <w:overflowPunct/>
        <w:topLinePunct w:val="0"/>
        <w:autoSpaceDE/>
        <w:autoSpaceDN/>
        <w:bidi w:val="0"/>
        <w:adjustRightInd w:val="0"/>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2023</w:t>
      </w:r>
      <w:r>
        <w:rPr>
          <w:rFonts w:hint="default" w:ascii="Times New Roman" w:hAnsi="Times New Roman" w:eastAsia="黑体" w:cs="Times New Roman"/>
          <w:color w:val="auto"/>
          <w:sz w:val="32"/>
          <w:szCs w:val="32"/>
        </w:rPr>
        <w:t>年主要工作</w:t>
      </w:r>
    </w:p>
    <w:p w14:paraId="0FFB7667">
      <w:pPr>
        <w:keepNext w:val="0"/>
        <w:keepLines w:val="0"/>
        <w:pageBreakBefore w:val="0"/>
        <w:widowControl/>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p>
    <w:p w14:paraId="2123A0C4">
      <w:pPr>
        <w:keepNext w:val="0"/>
        <w:keepLines w:val="0"/>
        <w:pageBreakBefore w:val="0"/>
        <w:widowControl w:val="0"/>
        <w:kinsoku/>
        <w:wordWrap/>
        <w:overflowPunct/>
        <w:topLinePunct w:val="0"/>
        <w:autoSpaceDE/>
        <w:autoSpaceDN/>
        <w:bidi w:val="0"/>
        <w:adjustRightInd w:val="0"/>
        <w:snapToGrid/>
        <w:spacing w:line="59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年，县检察院在县委和上级检察机关的坚强领导</w:t>
      </w:r>
      <w:r>
        <w:rPr>
          <w:rFonts w:hint="default" w:ascii="Times New Roman" w:hAnsi="Times New Roman" w:eastAsia="仿宋_GB2312" w:cs="Times New Roman"/>
          <w:color w:val="auto"/>
          <w:sz w:val="32"/>
          <w:szCs w:val="32"/>
          <w:lang w:eastAsia="zh-CN"/>
        </w:rPr>
        <w:t>下，在</w:t>
      </w:r>
      <w:r>
        <w:rPr>
          <w:rFonts w:hint="default" w:ascii="Times New Roman" w:hAnsi="Times New Roman" w:eastAsia="仿宋_GB2312" w:cs="Times New Roman"/>
          <w:color w:val="auto"/>
          <w:sz w:val="32"/>
          <w:szCs w:val="32"/>
        </w:rPr>
        <w:t>县人大及其常委会的有力监督</w:t>
      </w:r>
      <w:r>
        <w:rPr>
          <w:rFonts w:hint="default" w:ascii="Times New Roman" w:hAnsi="Times New Roman" w:eastAsia="仿宋_GB2312" w:cs="Times New Roman"/>
          <w:color w:val="auto"/>
          <w:sz w:val="32"/>
          <w:szCs w:val="32"/>
          <w:lang w:eastAsia="zh-CN"/>
        </w:rPr>
        <w:t>下，在</w:t>
      </w:r>
      <w:r>
        <w:rPr>
          <w:rFonts w:hint="default" w:ascii="Times New Roman" w:hAnsi="Times New Roman" w:eastAsia="仿宋_GB2312" w:cs="Times New Roman"/>
          <w:color w:val="auto"/>
          <w:sz w:val="32"/>
          <w:szCs w:val="32"/>
        </w:rPr>
        <w:t>县政府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县政协</w:t>
      </w:r>
      <w:r>
        <w:rPr>
          <w:rFonts w:hint="default" w:ascii="Times New Roman" w:hAnsi="Times New Roman" w:eastAsia="仿宋_GB2312" w:cs="Times New Roman"/>
          <w:color w:val="auto"/>
          <w:sz w:val="32"/>
          <w:szCs w:val="32"/>
          <w:lang w:eastAsia="zh-CN"/>
        </w:rPr>
        <w:t>和社会各界的关心支持</w:t>
      </w:r>
      <w:r>
        <w:rPr>
          <w:rFonts w:hint="default" w:ascii="Times New Roman" w:hAnsi="Times New Roman" w:eastAsia="仿宋_GB2312" w:cs="Times New Roman"/>
          <w:color w:val="auto"/>
          <w:sz w:val="32"/>
          <w:szCs w:val="32"/>
        </w:rPr>
        <w:t>下，</w:t>
      </w:r>
      <w:r>
        <w:rPr>
          <w:rFonts w:hint="default" w:ascii="Times New Roman" w:hAnsi="Times New Roman" w:eastAsia="仿宋_GB2312" w:cs="Times New Roman"/>
          <w:color w:val="auto"/>
          <w:sz w:val="32"/>
          <w:szCs w:val="32"/>
          <w:lang w:eastAsia="zh-CN"/>
        </w:rPr>
        <w:t>始终</w:t>
      </w:r>
      <w:r>
        <w:rPr>
          <w:rFonts w:hint="default" w:ascii="Times New Roman" w:hAnsi="Times New Roman" w:eastAsia="仿宋_GB2312" w:cs="Times New Roman"/>
          <w:color w:val="auto"/>
          <w:sz w:val="32"/>
          <w:szCs w:val="32"/>
        </w:rPr>
        <w:t>坚持以习近平新时代中国特色社会主义思想为指导，深入学习领会习近平法治思想，认真贯彻党的二十大精神，</w:t>
      </w:r>
      <w:r>
        <w:rPr>
          <w:rFonts w:hint="default" w:ascii="Times New Roman" w:hAnsi="Times New Roman" w:eastAsia="仿宋_GB2312" w:cs="Times New Roman"/>
          <w:color w:val="auto"/>
          <w:sz w:val="32"/>
          <w:szCs w:val="32"/>
          <w:lang w:eastAsia="zh-CN"/>
        </w:rPr>
        <w:t>积极</w:t>
      </w:r>
      <w:r>
        <w:rPr>
          <w:rFonts w:hint="default" w:ascii="Times New Roman" w:hAnsi="Times New Roman" w:eastAsia="仿宋_GB2312" w:cs="Times New Roman"/>
          <w:color w:val="auto"/>
          <w:sz w:val="32"/>
          <w:szCs w:val="32"/>
        </w:rPr>
        <w:t>落实《中共中央关于加强新时代检察机关法律监督工作的意见》和省委实施意见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以及市委、县委责任清单，</w:t>
      </w:r>
      <w:r>
        <w:rPr>
          <w:rFonts w:hint="default" w:ascii="Times New Roman" w:hAnsi="Times New Roman" w:eastAsia="仿宋_GB2312" w:cs="Times New Roman"/>
          <w:color w:val="auto"/>
          <w:sz w:val="32"/>
          <w:szCs w:val="32"/>
          <w:lang w:eastAsia="zh-CN"/>
        </w:rPr>
        <w:t>推动各项检察工作干在实处，走在前列。在</w:t>
      </w:r>
      <w:r>
        <w:rPr>
          <w:rFonts w:hint="default" w:ascii="Times New Roman" w:hAnsi="Times New Roman" w:eastAsia="仿宋_GB2312" w:cs="Times New Roman"/>
          <w:color w:val="auto"/>
          <w:sz w:val="32"/>
          <w:szCs w:val="32"/>
          <w:lang w:val="en-US" w:eastAsia="zh-CN"/>
        </w:rPr>
        <w:t>2023</w:t>
      </w:r>
      <w:r>
        <w:rPr>
          <w:rFonts w:hint="default" w:ascii="Times New Roman" w:hAnsi="Times New Roman" w:eastAsia="仿宋_GB2312" w:cs="Times New Roman"/>
          <w:color w:val="auto"/>
          <w:sz w:val="32"/>
          <w:szCs w:val="32"/>
          <w:lang w:eastAsia="zh-CN"/>
        </w:rPr>
        <w:t>年检察工作考核中，业务工作全市第二、综合工作全市前列。</w:t>
      </w:r>
    </w:p>
    <w:p w14:paraId="67A22D98">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w:t>
      </w:r>
      <w:r>
        <w:rPr>
          <w:rFonts w:hint="default" w:ascii="Times New Roman" w:hAnsi="Times New Roman" w:eastAsia="黑体" w:cs="Times New Roman"/>
          <w:b w:val="0"/>
          <w:bCs w:val="0"/>
          <w:color w:val="auto"/>
          <w:sz w:val="32"/>
          <w:szCs w:val="32"/>
          <w:lang w:eastAsia="zh-CN"/>
        </w:rPr>
        <w:t>坚持以服务大局为己任，在护航发展中彰显检察担当</w:t>
      </w:r>
    </w:p>
    <w:p w14:paraId="5C387417">
      <w:pPr>
        <w:pStyle w:val="5"/>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楷体" w:cs="Times New Roman"/>
          <w:color w:val="auto"/>
          <w:sz w:val="32"/>
          <w:szCs w:val="32"/>
        </w:rPr>
        <w:t>1.</w:t>
      </w:r>
      <w:r>
        <w:rPr>
          <w:rFonts w:hint="default" w:ascii="Times New Roman" w:hAnsi="Times New Roman" w:eastAsia="楷体" w:cs="Times New Roman"/>
          <w:color w:val="auto"/>
          <w:sz w:val="32"/>
          <w:szCs w:val="32"/>
          <w:lang w:eastAsia="zh-CN"/>
        </w:rPr>
        <w:t>着力营造安全稳定的</w:t>
      </w:r>
      <w:r>
        <w:rPr>
          <w:rFonts w:hint="default" w:ascii="Times New Roman" w:hAnsi="Times New Roman" w:eastAsia="楷体" w:cs="Times New Roman"/>
          <w:color w:val="auto"/>
          <w:sz w:val="32"/>
          <w:szCs w:val="32"/>
        </w:rPr>
        <w:t>社会</w:t>
      </w:r>
      <w:r>
        <w:rPr>
          <w:rFonts w:hint="default" w:ascii="Times New Roman" w:hAnsi="Times New Roman" w:eastAsia="楷体" w:cs="Times New Roman"/>
          <w:color w:val="auto"/>
          <w:sz w:val="32"/>
          <w:szCs w:val="32"/>
          <w:lang w:eastAsia="zh-CN"/>
        </w:rPr>
        <w:t>环境</w:t>
      </w:r>
      <w:r>
        <w:rPr>
          <w:rFonts w:hint="default" w:ascii="Times New Roman" w:hAnsi="Times New Roman" w:eastAsia="楷体"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强力推进更高水平平安澧州建设，受理审查逮捕案件315件452人，批准逮捕209件272人，受理审查起诉案件707件1037人，提起公诉396 件592人。常态化开展扫黑除恶斗争，对涉黑恶犯罪批捕1人，起诉1人。严惩故意杀人、抢劫等严重暴力犯罪，批捕10人，</w:t>
      </w:r>
      <w:r>
        <w:rPr>
          <w:rFonts w:hint="eastAsia" w:ascii="Times New Roman" w:hAnsi="Times New Roman" w:eastAsia="仿宋_GB2312" w:cs="Times New Roman"/>
          <w:color w:val="auto"/>
          <w:kern w:val="2"/>
          <w:sz w:val="32"/>
          <w:szCs w:val="32"/>
          <w:lang w:val="en-US" w:eastAsia="zh-CN" w:bidi="ar-SA"/>
        </w:rPr>
        <w:t>已</w:t>
      </w:r>
      <w:r>
        <w:rPr>
          <w:rFonts w:hint="default" w:ascii="Times New Roman" w:hAnsi="Times New Roman" w:eastAsia="仿宋_GB2312" w:cs="Times New Roman"/>
          <w:color w:val="auto"/>
          <w:kern w:val="2"/>
          <w:sz w:val="32"/>
          <w:szCs w:val="32"/>
          <w:lang w:val="en-US" w:eastAsia="zh-CN" w:bidi="ar-SA"/>
        </w:rPr>
        <w:t>起诉5人。依法打击贩卖毒品、容留他人吸毒等毒品犯罪，批捕34人，起诉39人。</w:t>
      </w:r>
      <w:r>
        <w:rPr>
          <w:rFonts w:hint="default" w:ascii="Times New Roman" w:hAnsi="Times New Roman" w:eastAsia="仿宋_GB2312" w:cs="Times New Roman"/>
          <w:color w:val="auto"/>
          <w:sz w:val="32"/>
          <w:szCs w:val="32"/>
          <w:shd w:val="clear" w:color="auto" w:fill="auto"/>
        </w:rPr>
        <w:t>全力遏制帮助信息</w:t>
      </w:r>
      <w:r>
        <w:rPr>
          <w:rFonts w:hint="default" w:ascii="Times New Roman" w:hAnsi="Times New Roman" w:eastAsia="仿宋_GB2312" w:cs="Times New Roman"/>
          <w:b w:val="0"/>
          <w:bCs w:val="0"/>
          <w:color w:val="auto"/>
          <w:kern w:val="2"/>
          <w:sz w:val="32"/>
          <w:szCs w:val="32"/>
          <w:shd w:val="clear" w:color="auto" w:fill="auto"/>
          <w:lang w:val="en-US" w:eastAsia="zh-CN" w:bidi="ar-SA"/>
        </w:rPr>
        <w:t>网络犯罪活动</w:t>
      </w:r>
      <w:r>
        <w:rPr>
          <w:rFonts w:hint="eastAsia" w:ascii="Times New Roman" w:hAnsi="Times New Roman" w:eastAsia="仿宋_GB2312" w:cs="Times New Roman"/>
          <w:b w:val="0"/>
          <w:bCs w:val="0"/>
          <w:color w:val="auto"/>
          <w:kern w:val="2"/>
          <w:sz w:val="32"/>
          <w:szCs w:val="32"/>
          <w:shd w:val="clear" w:color="auto" w:fill="auto"/>
          <w:lang w:val="en-US" w:eastAsia="zh-CN" w:bidi="ar-SA"/>
        </w:rPr>
        <w:t>，</w:t>
      </w:r>
      <w:r>
        <w:rPr>
          <w:rFonts w:hint="default" w:ascii="Times New Roman" w:hAnsi="Times New Roman" w:eastAsia="仿宋_GB2312" w:cs="Times New Roman"/>
          <w:b w:val="0"/>
          <w:bCs w:val="0"/>
          <w:color w:val="auto"/>
          <w:kern w:val="2"/>
          <w:sz w:val="32"/>
          <w:szCs w:val="32"/>
          <w:shd w:val="clear" w:color="auto" w:fill="auto"/>
          <w:lang w:val="en-US" w:eastAsia="zh-CN" w:bidi="ar-SA"/>
        </w:rPr>
        <w:t>批捕5人，起诉13人。</w:t>
      </w:r>
    </w:p>
    <w:p w14:paraId="4D24CF22">
      <w:pPr>
        <w:pStyle w:val="5"/>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楷体" w:cs="Times New Roman"/>
          <w:color w:val="auto"/>
          <w:kern w:val="2"/>
          <w:sz w:val="32"/>
          <w:szCs w:val="32"/>
          <w:lang w:val="en-US" w:eastAsia="zh-CN" w:bidi="ar-SA"/>
        </w:rPr>
        <w:t>2.着力营造公平有序的</w:t>
      </w:r>
      <w:r>
        <w:rPr>
          <w:rFonts w:hint="default" w:ascii="Times New Roman" w:hAnsi="Times New Roman" w:eastAsia="楷体" w:cs="Times New Roman"/>
          <w:color w:val="auto"/>
          <w:sz w:val="32"/>
          <w:szCs w:val="32"/>
          <w:lang w:val="en-US" w:eastAsia="zh-CN"/>
        </w:rPr>
        <w:t>营商环境。</w:t>
      </w:r>
      <w:r>
        <w:rPr>
          <w:rFonts w:hint="default" w:ascii="Times New Roman" w:hAnsi="Times New Roman" w:eastAsia="仿宋_GB2312" w:cs="Times New Roman"/>
          <w:color w:val="auto"/>
          <w:kern w:val="2"/>
          <w:sz w:val="32"/>
          <w:szCs w:val="32"/>
          <w:lang w:val="en-US" w:eastAsia="zh-CN" w:bidi="ar-SA"/>
        </w:rPr>
        <w:t>维护公平竞争市场环境，起诉非法经营、非法吸收公众存款等破坏社会主义市场经济秩序的犯罪28人。</w:t>
      </w:r>
      <w:r>
        <w:rPr>
          <w:rFonts w:hint="default" w:ascii="Times New Roman" w:hAnsi="Times New Roman" w:eastAsia="仿宋_GB2312" w:cs="Times New Roman"/>
          <w:color w:val="auto"/>
          <w:kern w:val="2"/>
          <w:sz w:val="32"/>
          <w:szCs w:val="32"/>
          <w:shd w:val="clear" w:color="auto" w:fill="auto"/>
          <w:lang w:val="en-US" w:eastAsia="zh-CN" w:bidi="ar-SA"/>
        </w:rPr>
        <w:t>依法审慎办理涉民营企业案件，对不构成犯罪的涉企人员，监督公安机关撤案2人，对犯罪情节较轻、具有认罪认罚等情形的，不起诉9人，变更强制措施2人。深入落实涉案企业合规改革，依法对1家</w:t>
      </w:r>
      <w:r>
        <w:rPr>
          <w:rFonts w:hint="default" w:ascii="Times New Roman" w:hAnsi="Times New Roman" w:eastAsia="仿宋_GB2312" w:cs="Times New Roman"/>
          <w:color w:val="auto"/>
          <w:kern w:val="2"/>
          <w:sz w:val="32"/>
          <w:szCs w:val="32"/>
          <w:lang w:val="en-US" w:eastAsia="zh-CN" w:bidi="ar-SA"/>
        </w:rPr>
        <w:t>涉案民营企业进行合规审查，</w:t>
      </w:r>
      <w:r>
        <w:rPr>
          <w:rFonts w:hint="default" w:ascii="Times New Roman" w:hAnsi="Times New Roman" w:eastAsia="仿宋_GB2312" w:cs="Times New Roman"/>
          <w:color w:val="auto"/>
          <w:sz w:val="32"/>
          <w:szCs w:val="32"/>
          <w:lang w:val="en-US" w:eastAsia="zh-CN"/>
        </w:rPr>
        <w:t>帮助企业恢复正常生产经营。凝聚知识产权保护合力，在办理覃某非法制造、销售注册商标标识一案时，对其因犯罪情节轻微作出不起诉决定后，通过</w:t>
      </w:r>
      <w:r>
        <w:rPr>
          <w:rFonts w:hint="default" w:ascii="Times New Roman" w:hAnsi="Times New Roman" w:eastAsia="仿宋_GB2312" w:cs="Times New Roman"/>
          <w:color w:val="auto"/>
          <w:sz w:val="32"/>
          <w:szCs w:val="32"/>
          <w:shd w:val="clear" w:color="auto" w:fill="auto"/>
          <w:lang w:val="en-US" w:eastAsia="zh-CN"/>
        </w:rPr>
        <w:t>行刑反向衔接</w:t>
      </w:r>
      <w:r>
        <w:rPr>
          <w:rFonts w:hint="default" w:ascii="Times New Roman" w:hAnsi="Times New Roman" w:eastAsia="仿宋_GB2312" w:cs="Times New Roman"/>
          <w:color w:val="auto"/>
          <w:sz w:val="32"/>
          <w:szCs w:val="32"/>
          <w:lang w:val="en-US" w:eastAsia="zh-CN"/>
        </w:rPr>
        <w:t>，向县市场监督管理局发出检察意见</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shd w:val="clear" w:color="auto" w:fill="auto"/>
          <w:lang w:val="en-US" w:eastAsia="zh-CN"/>
        </w:rPr>
        <w:t>覃某被行政处罚5万元。</w:t>
      </w:r>
    </w:p>
    <w:p w14:paraId="311D38BD">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 w:cs="Times New Roman"/>
          <w:color w:val="auto"/>
          <w:sz w:val="32"/>
          <w:szCs w:val="32"/>
          <w:lang w:val="en-US" w:eastAsia="zh-CN"/>
        </w:rPr>
        <w:t>3.着力营造天蓝水清的生态环境。</w:t>
      </w:r>
      <w:r>
        <w:rPr>
          <w:rFonts w:hint="default" w:ascii="Times New Roman" w:hAnsi="Times New Roman" w:eastAsia="仿宋_GB2312" w:cs="Times New Roman"/>
          <w:b w:val="0"/>
          <w:bCs w:val="0"/>
          <w:color w:val="auto"/>
          <w:sz w:val="32"/>
          <w:szCs w:val="32"/>
          <w:lang w:eastAsia="zh-CN"/>
        </w:rPr>
        <w:t>牢固树立和践行“绿水青山就是金山银山”的理念，</w:t>
      </w:r>
      <w:r>
        <w:rPr>
          <w:rFonts w:hint="default" w:ascii="Times New Roman" w:hAnsi="Times New Roman" w:eastAsia="仿宋_GB2312" w:cs="Times New Roman"/>
          <w:b w:val="0"/>
          <w:bCs w:val="0"/>
          <w:color w:val="auto"/>
          <w:sz w:val="32"/>
          <w:szCs w:val="32"/>
          <w:shd w:val="clear" w:color="auto" w:fill="auto"/>
          <w:lang w:eastAsia="zh-CN"/>
        </w:rPr>
        <w:t>起诉非法采矿、非法捕捞等破坏生态环境资源犯罪</w:t>
      </w:r>
      <w:r>
        <w:rPr>
          <w:rFonts w:hint="default" w:ascii="Times New Roman" w:hAnsi="Times New Roman" w:eastAsia="仿宋_GB2312" w:cs="Times New Roman"/>
          <w:b w:val="0"/>
          <w:bCs w:val="0"/>
          <w:color w:val="auto"/>
          <w:sz w:val="32"/>
          <w:szCs w:val="32"/>
          <w:shd w:val="clear" w:color="auto" w:fill="auto"/>
          <w:lang w:val="en-US" w:eastAsia="zh-CN"/>
        </w:rPr>
        <w:t>9人，</w:t>
      </w:r>
      <w:r>
        <w:rPr>
          <w:rFonts w:hint="default" w:ascii="Times New Roman" w:hAnsi="Times New Roman" w:eastAsia="仿宋_GB2312" w:cs="Times New Roman"/>
          <w:b w:val="0"/>
          <w:bCs w:val="0"/>
          <w:color w:val="auto"/>
          <w:sz w:val="32"/>
          <w:szCs w:val="32"/>
          <w:lang w:eastAsia="zh-CN"/>
        </w:rPr>
        <w:t>办理生态环境和资源保护领域公益诉讼案件</w:t>
      </w:r>
      <w:r>
        <w:rPr>
          <w:rFonts w:hint="default" w:ascii="Times New Roman" w:hAnsi="Times New Roman" w:eastAsia="仿宋_GB2312" w:cs="Times New Roman"/>
          <w:b w:val="0"/>
          <w:bCs w:val="0"/>
          <w:color w:val="auto"/>
          <w:sz w:val="32"/>
          <w:szCs w:val="32"/>
          <w:lang w:val="en-US" w:eastAsia="zh-CN"/>
        </w:rPr>
        <w:t>38件，支持生态环境损害赔偿磋商2件，督促</w:t>
      </w:r>
      <w:r>
        <w:rPr>
          <w:rFonts w:hint="default" w:ascii="Times New Roman" w:hAnsi="Times New Roman" w:eastAsia="仿宋_GB2312" w:cs="Times New Roman"/>
          <w:color w:val="auto"/>
          <w:sz w:val="32"/>
          <w:szCs w:val="32"/>
          <w:lang w:val="en-US" w:eastAsia="zh-CN"/>
        </w:rPr>
        <w:t>恢复被污染水源地2处，挽回被毁损国有林地67亩，复垦被非法改变用途的耕地23亩，索赔生态环境损害赔偿金134.52万元。</w:t>
      </w:r>
      <w:r>
        <w:rPr>
          <w:rFonts w:hint="default" w:ascii="Times New Roman" w:hAnsi="Times New Roman" w:eastAsia="仿宋_GB2312" w:cs="Times New Roman"/>
          <w:color w:val="auto"/>
          <w:spacing w:val="0"/>
          <w:sz w:val="32"/>
          <w:szCs w:val="32"/>
          <w:u w:val="none"/>
          <w:lang w:val="en-US" w:eastAsia="zh-CN"/>
        </w:rPr>
        <w:t>办理的督促整治某油脂加工厂恶臭污染案入选全省生态环境司法保护典型案例，由此改编的《油脂加工厂变身记》获评全省检察机关“优秀故事”。</w:t>
      </w:r>
    </w:p>
    <w:p w14:paraId="643980A8">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楷体" w:cs="Times New Roman"/>
          <w:color w:val="auto"/>
          <w:sz w:val="32"/>
          <w:szCs w:val="32"/>
          <w:shd w:val="clear" w:color="auto" w:fill="auto"/>
          <w:lang w:val="en-US" w:eastAsia="zh-CN"/>
        </w:rPr>
        <w:t>4.着力营造风清气正的政治环境。</w:t>
      </w:r>
      <w:r>
        <w:rPr>
          <w:rFonts w:hint="default" w:ascii="Times New Roman" w:hAnsi="Times New Roman" w:eastAsia="仿宋_GB2312" w:cs="Times New Roman"/>
          <w:color w:val="auto"/>
          <w:sz w:val="32"/>
          <w:szCs w:val="32"/>
          <w:lang w:val="en-US" w:eastAsia="zh-CN"/>
        </w:rPr>
        <w:t>深化落实监检协作机制，</w:t>
      </w:r>
      <w:r>
        <w:rPr>
          <w:rFonts w:hint="default" w:ascii="Times New Roman" w:hAnsi="Times New Roman" w:eastAsia="仿宋_GB2312" w:cs="Times New Roman"/>
          <w:b w:val="0"/>
          <w:bCs/>
          <w:color w:val="auto"/>
          <w:sz w:val="32"/>
          <w:szCs w:val="32"/>
          <w:lang w:val="en-US" w:eastAsia="zh-CN"/>
        </w:rPr>
        <w:t>与县纪委监委联合签发《关于建立违法问题线索双向移送机制的若干意见（试行）》，</w:t>
      </w:r>
      <w:r>
        <w:rPr>
          <w:rFonts w:hint="default" w:ascii="Times New Roman" w:hAnsi="Times New Roman" w:eastAsia="仿宋_GB2312" w:cs="Times New Roman"/>
          <w:color w:val="auto"/>
          <w:sz w:val="32"/>
          <w:szCs w:val="32"/>
        </w:rPr>
        <w:t>落实相互配合、相互制约的工作机制，</w:t>
      </w:r>
      <w:r>
        <w:rPr>
          <w:rFonts w:hint="default" w:ascii="Times New Roman" w:hAnsi="Times New Roman" w:eastAsia="仿宋_GB2312" w:cs="Times New Roman"/>
          <w:color w:val="auto"/>
          <w:sz w:val="32"/>
          <w:szCs w:val="32"/>
          <w:shd w:val="clear" w:color="auto" w:fill="auto"/>
        </w:rPr>
        <w:t>严惩贪污</w:t>
      </w:r>
      <w:r>
        <w:rPr>
          <w:rFonts w:hint="default" w:ascii="Times New Roman" w:hAnsi="Times New Roman" w:eastAsia="仿宋_GB2312" w:cs="Times New Roman"/>
          <w:color w:val="auto"/>
          <w:sz w:val="32"/>
          <w:szCs w:val="32"/>
          <w:shd w:val="clear" w:color="auto" w:fill="auto"/>
          <w:lang w:eastAsia="zh-CN"/>
        </w:rPr>
        <w:t>渎职</w:t>
      </w:r>
      <w:r>
        <w:rPr>
          <w:rFonts w:hint="default" w:ascii="Times New Roman" w:hAnsi="Times New Roman" w:eastAsia="仿宋_GB2312" w:cs="Times New Roman"/>
          <w:color w:val="auto"/>
          <w:sz w:val="32"/>
          <w:szCs w:val="32"/>
          <w:lang w:eastAsia="zh-CN"/>
        </w:rPr>
        <w:t>，起诉</w:t>
      </w:r>
      <w:r>
        <w:rPr>
          <w:rFonts w:hint="default" w:ascii="Times New Roman" w:hAnsi="Times New Roman" w:eastAsia="仿宋_GB2312" w:cs="Times New Roman"/>
          <w:color w:val="auto"/>
          <w:sz w:val="32"/>
          <w:szCs w:val="32"/>
          <w:shd w:val="clear" w:color="auto" w:fill="auto"/>
          <w:lang w:eastAsia="zh-CN"/>
        </w:rPr>
        <w:t>监委移送的职务犯罪案件</w:t>
      </w:r>
      <w:r>
        <w:rPr>
          <w:rFonts w:hint="default" w:ascii="Times New Roman" w:hAnsi="Times New Roman" w:eastAsia="仿宋_GB2312" w:cs="Times New Roman"/>
          <w:color w:val="auto"/>
          <w:sz w:val="32"/>
          <w:szCs w:val="32"/>
          <w:shd w:val="clear" w:color="auto" w:fill="auto"/>
          <w:lang w:val="en-US" w:eastAsia="zh-CN"/>
        </w:rPr>
        <w:t>4件6人，法院已作出有罪判决2人，</w:t>
      </w:r>
      <w:r>
        <w:rPr>
          <w:rFonts w:hint="default" w:ascii="Times New Roman" w:hAnsi="Times New Roman" w:eastAsia="仿宋_GB2312" w:cs="Times New Roman"/>
          <w:color w:val="auto"/>
          <w:sz w:val="32"/>
          <w:szCs w:val="32"/>
          <w:lang w:eastAsia="zh-CN"/>
        </w:rPr>
        <w:t>办理的</w:t>
      </w:r>
      <w:r>
        <w:rPr>
          <w:rFonts w:hint="default" w:ascii="Times New Roman" w:hAnsi="Times New Roman" w:eastAsia="仿宋_GB2312" w:cs="Times New Roman"/>
          <w:color w:val="auto"/>
          <w:sz w:val="32"/>
          <w:szCs w:val="32"/>
          <w:lang w:val="en-US" w:eastAsia="zh-CN"/>
        </w:rPr>
        <w:t>张某某行贿案入选省监察委、省检察院联合发布的行贿犯罪典型案例</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lang w:eastAsia="zh-CN"/>
        </w:rPr>
        <w:t>对办案中发现的</w:t>
      </w:r>
      <w:r>
        <w:rPr>
          <w:rFonts w:hint="default" w:ascii="Times New Roman" w:hAnsi="Times New Roman" w:eastAsia="仿宋_GB2312" w:cs="Times New Roman"/>
          <w:color w:val="auto"/>
          <w:sz w:val="32"/>
          <w:szCs w:val="32"/>
          <w:shd w:val="clear" w:color="auto" w:fill="auto"/>
          <w:lang w:val="en-US" w:eastAsia="zh-CN"/>
        </w:rPr>
        <w:t>1条深层次违法违纪线索</w:t>
      </w:r>
      <w:r>
        <w:rPr>
          <w:rFonts w:hint="default" w:ascii="Times New Roman" w:hAnsi="Times New Roman" w:eastAsia="仿宋_GB2312" w:cs="Times New Roman"/>
          <w:color w:val="auto"/>
          <w:sz w:val="32"/>
          <w:szCs w:val="32"/>
          <w:lang w:val="en-US" w:eastAsia="zh-CN"/>
        </w:rPr>
        <w:t>，及时</w:t>
      </w:r>
      <w:r>
        <w:rPr>
          <w:rFonts w:hint="default" w:ascii="Times New Roman" w:hAnsi="Times New Roman" w:eastAsia="仿宋_GB2312" w:cs="Times New Roman"/>
          <w:color w:val="auto"/>
          <w:sz w:val="32"/>
          <w:szCs w:val="32"/>
          <w:lang w:eastAsia="zh-CN"/>
        </w:rPr>
        <w:t>向监委移送</w:t>
      </w:r>
      <w:r>
        <w:rPr>
          <w:rFonts w:hint="default" w:ascii="Times New Roman" w:hAnsi="Times New Roman" w:eastAsia="仿宋_GB2312" w:cs="Times New Roman"/>
          <w:color w:val="auto"/>
          <w:sz w:val="32"/>
          <w:szCs w:val="32"/>
          <w:lang w:val="en-US" w:eastAsia="zh-CN"/>
        </w:rPr>
        <w:t>。</w:t>
      </w:r>
    </w:p>
    <w:p w14:paraId="4D0ADF40">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时刻把人民利益放在心上</w:t>
      </w:r>
      <w:r>
        <w:rPr>
          <w:rFonts w:hint="default" w:ascii="Times New Roman" w:hAnsi="Times New Roman" w:eastAsia="黑体" w:cs="Times New Roman"/>
          <w:color w:val="auto"/>
          <w:sz w:val="32"/>
          <w:szCs w:val="32"/>
        </w:rPr>
        <w:t>，以</w:t>
      </w:r>
      <w:r>
        <w:rPr>
          <w:rFonts w:hint="default" w:ascii="Times New Roman" w:hAnsi="Times New Roman" w:eastAsia="黑体" w:cs="Times New Roman"/>
          <w:color w:val="auto"/>
          <w:sz w:val="32"/>
          <w:szCs w:val="32"/>
          <w:lang w:eastAsia="zh-CN"/>
        </w:rPr>
        <w:t>法治力量守护民生福祉</w:t>
      </w:r>
    </w:p>
    <w:p w14:paraId="3B273893">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rPr>
        <w:t>1.</w:t>
      </w:r>
      <w:r>
        <w:rPr>
          <w:rFonts w:hint="default" w:ascii="Times New Roman" w:hAnsi="Times New Roman" w:eastAsia="楷体" w:cs="Times New Roman"/>
          <w:color w:val="auto"/>
          <w:sz w:val="32"/>
          <w:szCs w:val="32"/>
          <w:lang w:eastAsia="zh-CN"/>
        </w:rPr>
        <w:t>悉心呵护未成年人健康成长</w:t>
      </w:r>
      <w:r>
        <w:rPr>
          <w:rFonts w:hint="default" w:ascii="Times New Roman" w:hAnsi="Times New Roman" w:eastAsia="楷体"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切实保护未成年被害人权益，批捕43人，</w:t>
      </w:r>
      <w:r>
        <w:rPr>
          <w:rFonts w:hint="default" w:ascii="Times New Roman" w:hAnsi="Times New Roman" w:eastAsia="仿宋_GB2312" w:cs="Times New Roman"/>
          <w:color w:val="auto"/>
          <w:kern w:val="2"/>
          <w:sz w:val="32"/>
          <w:szCs w:val="32"/>
          <w:shd w:val="clear" w:color="auto" w:fill="auto"/>
          <w:lang w:val="en-US" w:eastAsia="zh-CN" w:bidi="ar-SA"/>
        </w:rPr>
        <w:t>起诉53人</w:t>
      </w:r>
      <w:r>
        <w:rPr>
          <w:rFonts w:hint="default" w:ascii="Times New Roman" w:hAnsi="Times New Roman" w:eastAsia="仿宋_GB2312" w:cs="Times New Roman"/>
          <w:color w:val="auto"/>
          <w:kern w:val="2"/>
          <w:sz w:val="32"/>
          <w:szCs w:val="32"/>
          <w:lang w:val="en-US" w:eastAsia="zh-CN" w:bidi="ar-SA"/>
        </w:rPr>
        <w:t>，监督立案7件，提请抗诉1件；深入开展“利剑护蕾”行动，批捕并起诉性侵未成年人案件</w:t>
      </w:r>
      <w:r>
        <w:rPr>
          <w:rFonts w:hint="default" w:ascii="Times New Roman" w:hAnsi="Times New Roman" w:eastAsia="仿宋_GB2312" w:cs="Times New Roman"/>
          <w:b w:val="0"/>
          <w:bCs w:val="0"/>
          <w:color w:val="auto"/>
          <w:kern w:val="2"/>
          <w:sz w:val="32"/>
          <w:szCs w:val="32"/>
          <w:shd w:val="clear" w:color="auto" w:fill="auto"/>
          <w:lang w:val="en-US" w:eastAsia="zh-CN" w:bidi="ar-SA"/>
        </w:rPr>
        <w:t>27件27人</w:t>
      </w:r>
      <w:r>
        <w:rPr>
          <w:rFonts w:hint="default" w:ascii="Times New Roman" w:hAnsi="Times New Roman" w:eastAsia="仿宋_GB2312" w:cs="Times New Roman"/>
          <w:color w:val="auto"/>
          <w:kern w:val="2"/>
          <w:sz w:val="32"/>
          <w:szCs w:val="32"/>
          <w:lang w:val="en-US" w:eastAsia="zh-CN" w:bidi="ar-SA"/>
        </w:rPr>
        <w:t>；落实“双向保护”司法理念，依法维护涉罪未成年人合法权益，不批捕11人，不起诉3人，附条件不起诉19人。以司法保护助推综合保护，针对部分家长严重监护失职的问题，发出督促监护令62份；针对未履行强制报告义务的单位，发出检察建议2份；与县公安局开展联合执法检查2次，针对娱乐场所违规接纳未成年人的现象，发出检察建议13份。28名检察人员兼任中小学法治副校长，走进校园开展法治宣讲活动14场，受邀为全县300余名儿童主任做专题培训，</w:t>
      </w:r>
      <w:r>
        <w:rPr>
          <w:rFonts w:hint="default" w:ascii="Times New Roman" w:hAnsi="Times New Roman" w:eastAsia="仿宋_GB2312" w:cs="Times New Roman"/>
          <w:color w:val="auto"/>
          <w:kern w:val="2"/>
          <w:sz w:val="32"/>
          <w:szCs w:val="32"/>
          <w:shd w:val="clear" w:color="auto" w:fill="auto"/>
          <w:lang w:val="en-US" w:eastAsia="zh-CN" w:bidi="ar-SA"/>
        </w:rPr>
        <w:t>以支持追索抚养费案例为原型的原创检察宣传片《</w:t>
      </w:r>
      <w:r>
        <w:rPr>
          <w:rFonts w:hint="default" w:ascii="Times New Roman" w:hAnsi="Times New Roman" w:eastAsia="仿宋_GB2312" w:cs="Times New Roman"/>
          <w:color w:val="auto"/>
          <w:sz w:val="32"/>
          <w:szCs w:val="32"/>
          <w:shd w:val="clear" w:color="auto" w:fill="auto"/>
          <w:lang w:val="en-US" w:eastAsia="zh-CN"/>
        </w:rPr>
        <w:t>成长路上 检爱同行</w:t>
      </w:r>
      <w:r>
        <w:rPr>
          <w:rFonts w:hint="default" w:ascii="Times New Roman" w:hAnsi="Times New Roman" w:eastAsia="仿宋_GB2312" w:cs="Times New Roman"/>
          <w:color w:val="auto"/>
          <w:kern w:val="2"/>
          <w:sz w:val="32"/>
          <w:szCs w:val="32"/>
          <w:shd w:val="clear" w:color="auto" w:fill="auto"/>
          <w:lang w:val="en-US" w:eastAsia="zh-CN" w:bidi="ar-SA"/>
        </w:rPr>
        <w:t>》受到广泛好评。</w:t>
      </w:r>
      <w:r>
        <w:rPr>
          <w:rFonts w:hint="default" w:ascii="Times New Roman" w:hAnsi="Times New Roman" w:eastAsia="仿宋_GB2312" w:cs="Times New Roman"/>
          <w:color w:val="auto"/>
          <w:kern w:val="2"/>
          <w:sz w:val="32"/>
          <w:szCs w:val="32"/>
          <w:lang w:val="en-US" w:eastAsia="zh-CN" w:bidi="ar-SA"/>
        </w:rPr>
        <w:t>与市检察院共同办理的黄某某强奸、猥亵儿童案，获评全省未检综合履职典型案例。注重案后救助，为1名未成年被害人申报“检爱计划”，帮助解决其学习生活等困难。</w:t>
      </w:r>
    </w:p>
    <w:p w14:paraId="13B95194">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color w:val="auto"/>
          <w:sz w:val="32"/>
          <w:szCs w:val="32"/>
          <w:lang w:val="en-US" w:eastAsia="zh-CN"/>
        </w:rPr>
        <w:t>2.全力化解社会矛盾纠纷。</w:t>
      </w:r>
      <w:r>
        <w:rPr>
          <w:rFonts w:hint="default" w:ascii="Times New Roman" w:hAnsi="Times New Roman" w:eastAsia="仿宋_GB2312" w:cs="Times New Roman"/>
          <w:color w:val="auto"/>
          <w:sz w:val="32"/>
          <w:szCs w:val="32"/>
          <w:shd w:val="clear" w:color="auto" w:fill="auto"/>
          <w:lang w:val="en-US" w:eastAsia="zh-CN"/>
        </w:rPr>
        <w:t>坚持</w:t>
      </w:r>
      <w:r>
        <w:rPr>
          <w:rFonts w:hint="default" w:ascii="Times New Roman" w:hAnsi="Times New Roman" w:eastAsia="仿宋_GB2312" w:cs="Times New Roman"/>
          <w:color w:val="auto"/>
          <w:kern w:val="2"/>
          <w:sz w:val="32"/>
          <w:szCs w:val="32"/>
          <w:shd w:val="clear" w:color="auto" w:fill="auto"/>
          <w:lang w:val="en-US" w:eastAsia="zh-CN" w:bidi="ar-SA"/>
        </w:rPr>
        <w:t>贯彻宽严相济刑事政策，落实中国特色轻罪治理</w:t>
      </w:r>
      <w:r>
        <w:rPr>
          <w:rFonts w:hint="default" w:ascii="Times New Roman" w:hAnsi="Times New Roman" w:eastAsia="仿宋_GB2312" w:cs="Times New Roman"/>
          <w:color w:val="auto"/>
          <w:spacing w:val="6"/>
          <w:kern w:val="2"/>
          <w:sz w:val="32"/>
          <w:szCs w:val="32"/>
          <w:shd w:val="clear" w:color="auto" w:fill="auto"/>
          <w:lang w:val="en-US" w:eastAsia="zh-CN" w:bidi="ar-SA"/>
        </w:rPr>
        <w:t>体系，依法不批捕102件170人，不起诉304件419人，促成达成和解59件64人，统筹落实认罪认罚从宽制度，适用认罪认罚办理案件681件985人，适用率96.3%，</w:t>
      </w:r>
      <w:r>
        <w:rPr>
          <w:rFonts w:hint="default" w:ascii="Times New Roman" w:hAnsi="Times New Roman" w:eastAsia="仿宋_GB2312" w:cs="Times New Roman"/>
          <w:color w:val="auto"/>
          <w:spacing w:val="6"/>
          <w:kern w:val="2"/>
          <w:sz w:val="32"/>
          <w:szCs w:val="32"/>
          <w:lang w:val="en-US" w:eastAsia="zh-CN" w:bidi="ar-SA"/>
        </w:rPr>
        <w:t>最大限度减少社会对抗、修复社会关系。办理被告人近百名的某诈骗、侵犯公民个人信息案时，精准区分对象分层分类处理，做到罚当其罪。防范化解社会稳定风险，深化落实群众信访“件件有回复”，</w:t>
      </w:r>
      <w:r>
        <w:rPr>
          <w:rFonts w:hint="default" w:ascii="Times New Roman" w:hAnsi="Times New Roman" w:eastAsia="仿宋_GB2312" w:cs="Times New Roman"/>
          <w:color w:val="auto"/>
          <w:spacing w:val="6"/>
          <w:kern w:val="2"/>
          <w:sz w:val="32"/>
          <w:szCs w:val="32"/>
          <w:shd w:val="clear" w:color="auto" w:fill="auto"/>
          <w:lang w:val="en-US" w:eastAsia="zh-CN" w:bidi="ar-SA"/>
        </w:rPr>
        <w:t>办理群众来信来访18件，</w:t>
      </w:r>
      <w:r>
        <w:rPr>
          <w:rFonts w:hint="default" w:ascii="Times New Roman" w:hAnsi="Times New Roman" w:eastAsia="仿宋_GB2312" w:cs="Times New Roman"/>
          <w:color w:val="auto"/>
          <w:spacing w:val="6"/>
          <w:kern w:val="2"/>
          <w:sz w:val="32"/>
          <w:szCs w:val="32"/>
          <w:lang w:val="en-US" w:eastAsia="zh-CN" w:bidi="ar-SA"/>
        </w:rPr>
        <w:t>实质性化解群众合理合法诉求。践行“以公开促公正、用听证赢公信”的理念，邀请</w:t>
      </w:r>
      <w:r>
        <w:rPr>
          <w:rFonts w:hint="default" w:ascii="Times New Roman" w:hAnsi="Times New Roman" w:eastAsia="仿宋_GB2312" w:cs="Times New Roman"/>
          <w:color w:val="auto"/>
          <w:spacing w:val="6"/>
          <w:kern w:val="2"/>
          <w:sz w:val="32"/>
          <w:szCs w:val="32"/>
          <w:shd w:val="clear" w:color="auto" w:fill="auto"/>
          <w:lang w:val="en-US" w:eastAsia="zh-CN" w:bidi="ar-SA"/>
        </w:rPr>
        <w:t>代表委员</w:t>
      </w:r>
      <w:r>
        <w:rPr>
          <w:rFonts w:hint="default" w:ascii="Times New Roman" w:hAnsi="Times New Roman" w:eastAsia="仿宋_GB2312" w:cs="Times New Roman"/>
          <w:color w:val="auto"/>
          <w:spacing w:val="6"/>
          <w:kern w:val="2"/>
          <w:sz w:val="32"/>
          <w:szCs w:val="32"/>
          <w:lang w:val="en-US" w:eastAsia="zh-CN" w:bidi="ar-SA"/>
        </w:rPr>
        <w:t>、人民监督员、公益律师、村居干部等参与</w:t>
      </w:r>
      <w:r>
        <w:rPr>
          <w:rFonts w:hint="default" w:ascii="Times New Roman" w:hAnsi="Times New Roman" w:eastAsia="仿宋_GB2312" w:cs="Times New Roman"/>
          <w:color w:val="auto"/>
          <w:spacing w:val="6"/>
          <w:kern w:val="2"/>
          <w:sz w:val="32"/>
          <w:szCs w:val="32"/>
          <w:shd w:val="clear" w:color="auto" w:fill="auto"/>
          <w:lang w:val="en-US" w:eastAsia="zh-CN" w:bidi="ar-SA"/>
        </w:rPr>
        <w:t>案件公开听证43件</w:t>
      </w:r>
      <w:r>
        <w:rPr>
          <w:rFonts w:hint="default" w:ascii="Times New Roman" w:hAnsi="Times New Roman" w:eastAsia="仿宋_GB2312" w:cs="Times New Roman"/>
          <w:color w:val="auto"/>
          <w:spacing w:val="6"/>
          <w:kern w:val="2"/>
          <w:sz w:val="32"/>
          <w:szCs w:val="32"/>
          <w:lang w:val="en-US" w:eastAsia="zh-CN" w:bidi="ar-SA"/>
        </w:rPr>
        <w:t>，让当事人把事说清、听证员把理辨明、检察官把法讲透</w:t>
      </w:r>
      <w:r>
        <w:rPr>
          <w:rFonts w:hint="default" w:ascii="Times New Roman" w:hAnsi="Times New Roman" w:eastAsia="仿宋_GB2312" w:cs="Times New Roman"/>
          <w:color w:val="auto"/>
          <w:kern w:val="2"/>
          <w:sz w:val="32"/>
          <w:szCs w:val="32"/>
          <w:lang w:val="en-US" w:eastAsia="zh-CN" w:bidi="ar-SA"/>
        </w:rPr>
        <w:t>。</w:t>
      </w:r>
    </w:p>
    <w:p w14:paraId="52589EC0">
      <w:pPr>
        <w:keepNext w:val="0"/>
        <w:keepLines w:val="0"/>
        <w:pageBreakBefore w:val="0"/>
        <w:widowControl/>
        <w:suppressLineNumbers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 w:cs="Times New Roman"/>
          <w:color w:val="auto"/>
          <w:sz w:val="32"/>
          <w:szCs w:val="32"/>
          <w:lang w:val="en-US" w:eastAsia="zh-CN"/>
        </w:rPr>
        <w:t>3.用心守护群众美好生活。</w:t>
      </w:r>
      <w:r>
        <w:rPr>
          <w:rFonts w:hint="default" w:ascii="Times New Roman" w:hAnsi="Times New Roman" w:eastAsia="仿宋_GB2312" w:cs="Times New Roman"/>
          <w:color w:val="auto"/>
          <w:kern w:val="2"/>
          <w:sz w:val="32"/>
          <w:szCs w:val="32"/>
          <w:shd w:val="clear" w:color="auto" w:fill="auto"/>
          <w:lang w:val="en-US" w:eastAsia="zh-CN" w:bidi="ar-SA"/>
        </w:rPr>
        <w:t>落实食品药品安全“四个最严”要求，起诉制售假药劣药、有毒有害食品等犯罪7人，办理食品药品安全领域公益诉讼案件21件，督促关停违法食品小作坊10家。落实“八号检察建议”，开展安全生产专题调研，对非法储存烟花爆竹、违法存储经营燃气等问题，办理危险作业案件5件7人，对全县范围内的加油站开展安全隐患排查，督促行政机关依法履职，目前行政机关已发出督促整改通知书20余份，切实排除安全隐患，促进企业安全生产。对追讨人身损害赔偿、追索医疗损害赔偿等案件，依法支持起诉31件，支持农民工起诉18件，帮助追讨薪金18万余元。向35名因案致残致贫的当事人发放司法救助金24.9</w:t>
      </w:r>
      <w:r>
        <w:rPr>
          <w:rFonts w:hint="eastAsia" w:ascii="Times New Roman" w:hAnsi="Times New Roman" w:eastAsia="仿宋_GB2312" w:cs="Times New Roman"/>
          <w:color w:val="auto"/>
          <w:kern w:val="2"/>
          <w:sz w:val="32"/>
          <w:szCs w:val="32"/>
          <w:shd w:val="clear" w:color="auto" w:fill="auto"/>
          <w:lang w:val="en-US" w:eastAsia="zh-CN" w:bidi="ar-SA"/>
        </w:rPr>
        <w:t>0</w:t>
      </w:r>
      <w:r>
        <w:rPr>
          <w:rFonts w:hint="default" w:ascii="Times New Roman" w:hAnsi="Times New Roman" w:eastAsia="仿宋_GB2312" w:cs="Times New Roman"/>
          <w:color w:val="auto"/>
          <w:kern w:val="2"/>
          <w:sz w:val="32"/>
          <w:szCs w:val="32"/>
          <w:shd w:val="clear" w:color="auto" w:fill="auto"/>
          <w:lang w:val="en-US" w:eastAsia="zh-CN" w:bidi="ar-SA"/>
        </w:rPr>
        <w:t>万元</w:t>
      </w:r>
      <w:r>
        <w:rPr>
          <w:rFonts w:hint="default" w:ascii="Times New Roman" w:hAnsi="Times New Roman" w:eastAsia="仿宋_GB2312" w:cs="Times New Roman"/>
          <w:color w:val="auto"/>
          <w:kern w:val="2"/>
          <w:sz w:val="32"/>
          <w:szCs w:val="32"/>
          <w:lang w:val="en-US" w:eastAsia="zh-CN" w:bidi="ar-SA"/>
        </w:rPr>
        <w:t>。</w:t>
      </w:r>
    </w:p>
    <w:p w14:paraId="33C08D3E">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认真耕耘主责主业，以能动履职助推司法公正高效</w:t>
      </w:r>
    </w:p>
    <w:p w14:paraId="6A524371">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楷体" w:cs="Times New Roman"/>
          <w:b w:val="0"/>
          <w:bCs w:val="0"/>
          <w:color w:val="auto"/>
          <w:sz w:val="32"/>
          <w:szCs w:val="32"/>
        </w:rPr>
        <w:t>1.</w:t>
      </w:r>
      <w:r>
        <w:rPr>
          <w:rFonts w:hint="default" w:ascii="Times New Roman" w:hAnsi="Times New Roman" w:eastAsia="楷体" w:cs="Times New Roman"/>
          <w:b w:val="0"/>
          <w:bCs w:val="0"/>
          <w:color w:val="auto"/>
          <w:sz w:val="32"/>
          <w:szCs w:val="32"/>
          <w:lang w:eastAsia="zh-CN"/>
        </w:rPr>
        <w:t>强化刑事诉讼监督</w:t>
      </w:r>
      <w:r>
        <w:rPr>
          <w:rFonts w:hint="default" w:ascii="Times New Roman" w:hAnsi="Times New Roman" w:eastAsia="楷体" w:cs="Times New Roman"/>
          <w:b w:val="0"/>
          <w:bCs w:val="0"/>
          <w:color w:val="auto"/>
          <w:sz w:val="32"/>
          <w:szCs w:val="32"/>
        </w:rPr>
        <w:t>。</w:t>
      </w:r>
      <w:r>
        <w:rPr>
          <w:rFonts w:hint="default" w:ascii="Times New Roman" w:hAnsi="Times New Roman" w:eastAsia="仿宋_GB2312" w:cs="Times New Roman"/>
          <w:color w:val="auto"/>
          <w:kern w:val="2"/>
          <w:sz w:val="32"/>
          <w:szCs w:val="32"/>
          <w:shd w:val="clear" w:color="auto" w:fill="auto"/>
          <w:lang w:val="en-US" w:eastAsia="zh-CN" w:bidi="ar-SA"/>
        </w:rPr>
        <w:t>加强侦查监督，依法监督立案43件，监督撤案3件，纠正漏诉52人，纠正侦查违法情形277次。加强审判监督，对刑事审判违法情形及时发出纠正违法通知书4份，提请刑事抗诉2件。加强执行监督，纠正看守所监管活动、社区矫正活动、财产刑执行活动违法情形39件，积极防范“纸面服刑”，纠正暂予监外执行不当7件，监督收监执行3人。</w:t>
      </w:r>
    </w:p>
    <w:p w14:paraId="151CD2FE">
      <w:pPr>
        <w:pStyle w:val="5"/>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楷体" w:cs="Times New Roman"/>
          <w:color w:val="auto"/>
          <w:sz w:val="32"/>
          <w:szCs w:val="32"/>
          <w:shd w:val="clear" w:color="auto" w:fill="auto"/>
          <w:lang w:val="en-US" w:eastAsia="zh-CN"/>
        </w:rPr>
        <w:t>2.强化民事诉讼监督。</w:t>
      </w:r>
      <w:r>
        <w:rPr>
          <w:rFonts w:hint="default" w:ascii="Times New Roman" w:hAnsi="Times New Roman" w:eastAsia="仿宋_GB2312" w:cs="Times New Roman"/>
          <w:color w:val="auto"/>
          <w:sz w:val="32"/>
          <w:szCs w:val="32"/>
          <w:lang w:val="en-US" w:eastAsia="zh-CN"/>
        </w:rPr>
        <w:t>办理各类民事检察案件217件。扎实开展对民事生效裁判结果监督，提出再审检察建议2件。</w:t>
      </w:r>
      <w:r>
        <w:rPr>
          <w:rFonts w:hint="default" w:ascii="Times New Roman" w:hAnsi="Times New Roman" w:eastAsia="仿宋_GB2312" w:cs="Times New Roman"/>
          <w:color w:val="auto"/>
          <w:sz w:val="32"/>
          <w:szCs w:val="32"/>
          <w:shd w:val="clear" w:color="auto" w:fill="auto"/>
          <w:lang w:val="en-US" w:eastAsia="zh-CN"/>
        </w:rPr>
        <w:t>努力推进</w:t>
      </w:r>
      <w:r>
        <w:rPr>
          <w:rFonts w:hint="default" w:ascii="Times New Roman" w:hAnsi="Times New Roman" w:eastAsia="仿宋_GB2312" w:cs="Times New Roman"/>
          <w:color w:val="auto"/>
          <w:sz w:val="32"/>
          <w:szCs w:val="32"/>
          <w:lang w:val="en-US" w:eastAsia="zh-CN"/>
        </w:rPr>
        <w:t>虚假诉讼监督，提请市院抗诉并采纳1件。继续加强对民事审判、执行活动中违法行为的监督，纠正审判违法情形91件，纠正执行违法情形92件。办理的马某与澧县某卫生院确认劳动关系纠纷案，</w:t>
      </w:r>
      <w:r>
        <w:rPr>
          <w:rFonts w:hint="default" w:ascii="Times New Roman" w:hAnsi="Times New Roman" w:eastAsia="仿宋_GB2312" w:cs="Times New Roman"/>
          <w:color w:val="auto"/>
          <w:sz w:val="32"/>
          <w:szCs w:val="32"/>
          <w:shd w:val="clear" w:color="auto" w:fill="auto"/>
          <w:lang w:val="en-US" w:eastAsia="zh-CN"/>
        </w:rPr>
        <w:t>本院认为双方不存在劳动关系，</w:t>
      </w:r>
      <w:r>
        <w:rPr>
          <w:rFonts w:hint="default" w:ascii="Times New Roman" w:hAnsi="Times New Roman" w:eastAsia="仿宋_GB2312" w:cs="Times New Roman"/>
          <w:color w:val="auto"/>
          <w:sz w:val="32"/>
          <w:szCs w:val="32"/>
          <w:lang w:val="en-US" w:eastAsia="zh-CN"/>
        </w:rPr>
        <w:t>依法制发再审检察建议，得到法院采纳并裁定进入再审程序。</w:t>
      </w:r>
    </w:p>
    <w:p w14:paraId="6258A4A4">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楷体" w:cs="Times New Roman"/>
          <w:color w:val="auto"/>
          <w:kern w:val="2"/>
          <w:sz w:val="32"/>
          <w:szCs w:val="32"/>
          <w:shd w:val="clear" w:color="auto" w:fill="auto"/>
          <w:lang w:val="en-US" w:eastAsia="zh-CN" w:bidi="ar-SA"/>
        </w:rPr>
        <w:t>3.强化行政诉讼监督。</w:t>
      </w:r>
      <w:r>
        <w:rPr>
          <w:rFonts w:hint="default" w:ascii="Times New Roman" w:hAnsi="Times New Roman" w:eastAsia="仿宋_GB2312" w:cs="Times New Roman"/>
          <w:color w:val="auto"/>
          <w:sz w:val="32"/>
          <w:szCs w:val="32"/>
          <w:lang w:val="en-US" w:eastAsia="zh-CN"/>
        </w:rPr>
        <w:t>办理各类行政检察案件111件。其中，行政生效裁判结果监督3件，同步向行政机关发出检察建议3件；行政审判违法监督31件；行政执行和非诉执行违法监督27件；行政违法行为监督41件；行政争议实质性化解9件，实质性化解3件冒名婚姻登记引发的行政争议案件。</w:t>
      </w:r>
      <w:r>
        <w:rPr>
          <w:rFonts w:hint="default" w:ascii="Times New Roman" w:hAnsi="Times New Roman" w:eastAsia="仿宋_GB2312" w:cs="Times New Roman"/>
          <w:color w:val="auto"/>
          <w:kern w:val="2"/>
          <w:sz w:val="32"/>
          <w:szCs w:val="32"/>
          <w:lang w:val="en-US" w:eastAsia="zh-CN" w:bidi="ar-SA"/>
        </w:rPr>
        <w:t>凝聚多方合力，分别</w:t>
      </w:r>
      <w:r>
        <w:rPr>
          <w:rFonts w:hint="default" w:ascii="Times New Roman" w:hAnsi="Times New Roman" w:eastAsia="仿宋_GB2312" w:cs="Times New Roman"/>
          <w:color w:val="auto"/>
          <w:sz w:val="32"/>
          <w:szCs w:val="32"/>
          <w:lang w:val="en-US" w:eastAsia="zh-CN"/>
        </w:rPr>
        <w:t>与县司法局、县法院建立行政争议化解协作机制。推进行刑衔接试点工作，在县委行政执法与检察监督衔接工作会议上作专题汇报，</w:t>
      </w:r>
      <w:r>
        <w:rPr>
          <w:rFonts w:hint="default" w:ascii="Times New Roman" w:hAnsi="Times New Roman" w:eastAsia="仿宋_GB2312" w:cs="Times New Roman"/>
          <w:color w:val="auto"/>
          <w:sz w:val="32"/>
          <w:szCs w:val="32"/>
          <w:shd w:val="clear" w:color="auto" w:fill="auto"/>
          <w:lang w:val="en-US" w:eastAsia="zh-CN"/>
        </w:rPr>
        <w:t>与县依法治县办、县司法局联合出台</w:t>
      </w:r>
      <w:r>
        <w:rPr>
          <w:rFonts w:hint="default" w:ascii="Times New Roman" w:hAnsi="Times New Roman" w:eastAsia="仿宋_GB2312" w:cs="Times New Roman"/>
          <w:b w:val="0"/>
          <w:bCs/>
          <w:color w:val="auto"/>
          <w:sz w:val="32"/>
          <w:szCs w:val="32"/>
          <w:shd w:val="clear" w:color="auto" w:fill="auto"/>
          <w:lang w:val="en-US" w:eastAsia="zh-CN"/>
        </w:rPr>
        <w:t>《关于建立行政执法与检察监督衔接机制的意见》</w:t>
      </w:r>
      <w:r>
        <w:rPr>
          <w:rFonts w:hint="default" w:ascii="Times New Roman" w:hAnsi="Times New Roman" w:eastAsia="仿宋_GB2312" w:cs="Times New Roman"/>
          <w:color w:val="auto"/>
          <w:sz w:val="32"/>
          <w:szCs w:val="32"/>
          <w:shd w:val="clear" w:color="auto" w:fill="auto"/>
          <w:lang w:val="en-US" w:eastAsia="zh-CN"/>
        </w:rPr>
        <w:t>。</w:t>
      </w:r>
    </w:p>
    <w:p w14:paraId="3758853A">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楷体" w:cs="Times New Roman"/>
          <w:color w:val="auto"/>
          <w:kern w:val="2"/>
          <w:sz w:val="32"/>
          <w:szCs w:val="32"/>
          <w:lang w:val="en-US" w:eastAsia="zh-CN" w:bidi="ar-SA"/>
        </w:rPr>
        <w:t>4.强化公益诉讼检察。</w:t>
      </w:r>
      <w:r>
        <w:rPr>
          <w:rFonts w:hint="default" w:ascii="Times New Roman" w:hAnsi="Times New Roman" w:eastAsia="仿宋_GB2312" w:cs="Times New Roman"/>
          <w:color w:val="auto"/>
          <w:kern w:val="2"/>
          <w:sz w:val="32"/>
          <w:szCs w:val="32"/>
          <w:lang w:val="en-US" w:eastAsia="zh-CN" w:bidi="ar-SA"/>
        </w:rPr>
        <w:t>共立案办理民事、行政公益诉讼案件</w:t>
      </w:r>
      <w:r>
        <w:rPr>
          <w:rFonts w:hint="default" w:ascii="Times New Roman" w:hAnsi="Times New Roman" w:eastAsia="仿宋_GB2312" w:cs="Times New Roman"/>
          <w:b w:val="0"/>
          <w:bCs w:val="0"/>
          <w:color w:val="auto"/>
          <w:sz w:val="32"/>
          <w:szCs w:val="32"/>
          <w:lang w:val="en-US" w:eastAsia="zh-CN"/>
        </w:rPr>
        <w:t>90件，发出诉前检察建议28份，提起刑事附带民事公益诉讼5件，提起行政公益诉讼2件。所办案件在覆盖4个传统法定领域的基础上，对未成年人保护、</w:t>
      </w:r>
      <w:r>
        <w:rPr>
          <w:rFonts w:hint="default" w:ascii="Times New Roman" w:hAnsi="Times New Roman" w:eastAsia="仿宋_GB2312" w:cs="Times New Roman"/>
          <w:color w:val="auto"/>
          <w:sz w:val="32"/>
          <w:szCs w:val="32"/>
        </w:rPr>
        <w:t>个人信息保护、</w:t>
      </w:r>
      <w:r>
        <w:rPr>
          <w:rFonts w:hint="default" w:ascii="Times New Roman" w:hAnsi="Times New Roman" w:eastAsia="仿宋_GB2312" w:cs="Times New Roman"/>
          <w:color w:val="auto"/>
          <w:sz w:val="32"/>
          <w:szCs w:val="32"/>
          <w:lang w:eastAsia="zh-CN"/>
        </w:rPr>
        <w:t>安全生产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农产品质量安全、无障碍环境建设等</w:t>
      </w:r>
      <w:r>
        <w:rPr>
          <w:rFonts w:hint="default" w:ascii="Times New Roman" w:hAnsi="Times New Roman" w:eastAsia="仿宋_GB2312" w:cs="Times New Roman"/>
          <w:b w:val="0"/>
          <w:bCs w:val="0"/>
          <w:color w:val="auto"/>
          <w:sz w:val="32"/>
          <w:szCs w:val="32"/>
          <w:lang w:val="en-US" w:eastAsia="zh-CN"/>
        </w:rPr>
        <w:t>5个新增法定领域进行公益监督。</w:t>
      </w:r>
      <w:r>
        <w:rPr>
          <w:rFonts w:hint="default" w:ascii="Times New Roman" w:hAnsi="Times New Roman" w:eastAsia="仿宋_GB2312" w:cs="Times New Roman"/>
          <w:color w:val="auto"/>
          <w:sz w:val="32"/>
          <w:szCs w:val="32"/>
          <w:lang w:val="en-US" w:eastAsia="zh-CN"/>
        </w:rPr>
        <w:t>凝聚保护合力</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shd w:val="clear" w:color="auto" w:fill="auto"/>
          <w:lang w:val="en-US" w:eastAsia="zh-CN"/>
        </w:rPr>
        <w:t>分别与县</w:t>
      </w:r>
      <w:r>
        <w:rPr>
          <w:rFonts w:hint="default" w:ascii="Times New Roman" w:hAnsi="Times New Roman" w:eastAsia="仿宋_GB2312" w:cs="Times New Roman"/>
          <w:color w:val="auto"/>
          <w:sz w:val="32"/>
          <w:szCs w:val="32"/>
          <w:shd w:val="clear" w:color="auto" w:fill="auto"/>
          <w:lang w:val="en-US" w:eastAsia="zh-CN"/>
        </w:rPr>
        <w:t>人大、</w:t>
      </w:r>
      <w:r>
        <w:rPr>
          <w:rFonts w:hint="default" w:ascii="Times New Roman" w:hAnsi="Times New Roman" w:eastAsia="仿宋_GB2312" w:cs="Times New Roman"/>
          <w:b w:val="0"/>
          <w:bCs w:val="0"/>
          <w:color w:val="auto"/>
          <w:sz w:val="32"/>
          <w:szCs w:val="32"/>
          <w:shd w:val="clear" w:color="auto" w:fill="auto"/>
          <w:lang w:val="en-US" w:eastAsia="zh-CN"/>
        </w:rPr>
        <w:t>林长制工作办公室、田长制工作办公室、审计局建立工作机制，</w:t>
      </w:r>
      <w:r>
        <w:rPr>
          <w:rFonts w:hint="default" w:ascii="Times New Roman" w:hAnsi="Times New Roman" w:eastAsia="仿宋_GB2312" w:cs="Times New Roman"/>
          <w:color w:val="auto"/>
          <w:sz w:val="32"/>
          <w:szCs w:val="32"/>
          <w:shd w:val="clear" w:color="auto" w:fill="auto"/>
          <w:lang w:val="en-US" w:eastAsia="zh-CN"/>
        </w:rPr>
        <w:t>与湖北省公安县检察院建立牛浪湖生态综合治理跨区域协作机制。</w:t>
      </w:r>
      <w:r>
        <w:rPr>
          <w:rFonts w:hint="default" w:ascii="Times New Roman" w:hAnsi="Times New Roman" w:eastAsia="仿宋_GB2312" w:cs="Times New Roman"/>
          <w:color w:val="auto"/>
          <w:sz w:val="32"/>
          <w:szCs w:val="32"/>
        </w:rPr>
        <w:t>紧紧围绕人民群众关心热点，深入</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老年人合法权益保护、酒类食品安全、农产品质量安全</w:t>
      </w:r>
      <w:r>
        <w:rPr>
          <w:rFonts w:hint="default" w:ascii="Times New Roman" w:hAnsi="Times New Roman" w:eastAsia="仿宋_GB2312" w:cs="Times New Roman"/>
          <w:color w:val="auto"/>
          <w:sz w:val="32"/>
          <w:szCs w:val="32"/>
          <w:lang w:eastAsia="zh-CN"/>
        </w:rPr>
        <w:t>、油气站安全生产隐患排查和违法用地整治、</w:t>
      </w:r>
      <w:r>
        <w:rPr>
          <w:rFonts w:hint="default" w:ascii="Times New Roman" w:hAnsi="Times New Roman" w:eastAsia="仿宋_GB2312" w:cs="Times New Roman"/>
          <w:color w:val="auto"/>
          <w:sz w:val="32"/>
          <w:szCs w:val="32"/>
          <w:lang w:val="en-US" w:eastAsia="zh-CN"/>
        </w:rPr>
        <w:t>高标准农田建设</w:t>
      </w:r>
      <w:r>
        <w:rPr>
          <w:rFonts w:hint="default" w:ascii="Times New Roman" w:hAnsi="Times New Roman" w:eastAsia="仿宋_GB2312" w:cs="Times New Roman"/>
          <w:color w:val="auto"/>
          <w:sz w:val="32"/>
          <w:szCs w:val="32"/>
        </w:rPr>
        <w:t>等专项监督活</w:t>
      </w:r>
      <w:r>
        <w:rPr>
          <w:rFonts w:hint="default" w:ascii="Times New Roman" w:hAnsi="Times New Roman" w:eastAsia="仿宋_GB2312" w:cs="Times New Roman"/>
          <w:color w:val="auto"/>
          <w:sz w:val="32"/>
          <w:szCs w:val="32"/>
          <w:shd w:val="clear" w:color="auto" w:fill="auto"/>
        </w:rPr>
        <w:t>动，</w:t>
      </w:r>
      <w:r>
        <w:rPr>
          <w:rFonts w:hint="default" w:ascii="Times New Roman" w:hAnsi="Times New Roman" w:eastAsia="仿宋_GB2312" w:cs="Times New Roman"/>
          <w:color w:val="auto"/>
          <w:sz w:val="32"/>
          <w:szCs w:val="32"/>
          <w:shd w:val="clear" w:color="auto" w:fill="auto"/>
          <w:lang w:eastAsia="zh-CN"/>
        </w:rPr>
        <w:t>相关问题均得到整改落实</w:t>
      </w:r>
      <w:r>
        <w:rPr>
          <w:rFonts w:hint="default" w:ascii="Times New Roman" w:hAnsi="Times New Roman" w:eastAsia="仿宋_GB2312" w:cs="Times New Roman"/>
          <w:color w:val="auto"/>
          <w:sz w:val="32"/>
          <w:szCs w:val="32"/>
          <w:lang w:eastAsia="zh-CN"/>
        </w:rPr>
        <w:t>。办理的一件</w:t>
      </w:r>
      <w:r>
        <w:rPr>
          <w:rFonts w:hint="default" w:ascii="Times New Roman" w:hAnsi="Times New Roman" w:eastAsia="仿宋_GB2312" w:cs="Times New Roman"/>
          <w:color w:val="auto"/>
          <w:sz w:val="32"/>
          <w:szCs w:val="32"/>
          <w:lang w:val="en-US" w:eastAsia="zh-CN"/>
        </w:rPr>
        <w:t>行政公益诉讼案被评为全市优秀案件。</w:t>
      </w:r>
      <w:r>
        <w:rPr>
          <w:rFonts w:hint="default" w:ascii="Times New Roman" w:hAnsi="Times New Roman" w:eastAsia="仿宋_GB2312" w:cs="Times New Roman"/>
          <w:color w:val="auto"/>
          <w:sz w:val="32"/>
          <w:szCs w:val="32"/>
          <w:shd w:val="clear" w:color="auto" w:fill="auto"/>
          <w:lang w:eastAsia="zh-CN"/>
        </w:rPr>
        <w:t>对某行政机关不依法履行职责提起的行政公益诉讼案，获法院当庭判决支持，属全市首例。</w:t>
      </w:r>
    </w:p>
    <w:p w14:paraId="2BAC2036">
      <w:pPr>
        <w:pStyle w:val="5"/>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shd w:val="clear" w:color="auto" w:fill="auto"/>
          <w:lang w:val="en-US" w:eastAsia="zh-CN"/>
        </w:rPr>
        <w:t>5.探索检察侦查工作。</w:t>
      </w:r>
      <w:r>
        <w:rPr>
          <w:rFonts w:hint="default" w:ascii="Times New Roman" w:hAnsi="Times New Roman" w:eastAsia="仿宋_GB2312" w:cs="Times New Roman"/>
          <w:color w:val="auto"/>
          <w:sz w:val="32"/>
          <w:szCs w:val="32"/>
          <w:lang w:val="en-US" w:eastAsia="zh-CN"/>
        </w:rPr>
        <w:t>2023年被省检察院确定为澧水流域可独立承办侦查案件的基层院后，迅速成立侦查专案团队，明确分管领导，并在全市率先完成办案工作区维修改造。深入开展醉驾领域专项监督活动，运用醉酒驾驶机动车刑事下行案件线索筛选模型，对收集的</w:t>
      </w:r>
      <w:r>
        <w:rPr>
          <w:rFonts w:hint="default" w:ascii="Times New Roman" w:hAnsi="Times New Roman" w:eastAsia="仿宋_GB2312" w:cs="Times New Roman"/>
          <w:color w:val="auto"/>
          <w:sz w:val="32"/>
          <w:szCs w:val="32"/>
          <w:shd w:val="clear" w:color="auto" w:fill="auto"/>
          <w:lang w:val="en-US" w:eastAsia="zh-CN"/>
        </w:rPr>
        <w:t>2条线索</w:t>
      </w:r>
      <w:r>
        <w:rPr>
          <w:rFonts w:hint="default" w:ascii="Times New Roman" w:hAnsi="Times New Roman" w:eastAsia="仿宋_GB2312" w:cs="Times New Roman"/>
          <w:color w:val="auto"/>
          <w:sz w:val="32"/>
          <w:szCs w:val="32"/>
          <w:lang w:val="en-US" w:eastAsia="zh-CN"/>
        </w:rPr>
        <w:t>进行深入调查核实，目前已进入预备立案阶段。</w:t>
      </w:r>
    </w:p>
    <w:p w14:paraId="4425E352">
      <w:pPr>
        <w:pStyle w:val="5"/>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持续加强教育监管</w:t>
      </w:r>
      <w:r>
        <w:rPr>
          <w:rFonts w:hint="eastAsia" w:ascii="黑体" w:hAnsi="黑体" w:eastAsia="黑体" w:cs="黑体"/>
          <w:color w:val="auto"/>
          <w:sz w:val="32"/>
          <w:szCs w:val="32"/>
        </w:rPr>
        <w:t>，以</w:t>
      </w:r>
      <w:r>
        <w:rPr>
          <w:rFonts w:hint="eastAsia" w:ascii="黑体" w:hAnsi="黑体" w:eastAsia="黑体" w:cs="黑体"/>
          <w:color w:val="auto"/>
          <w:sz w:val="32"/>
          <w:szCs w:val="32"/>
          <w:lang w:eastAsia="zh-CN"/>
        </w:rPr>
        <w:t>严管厚爱锻造过硬检察队伍</w:t>
      </w:r>
    </w:p>
    <w:p w14:paraId="39428809">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楷体" w:cs="Times New Roman"/>
          <w:color w:val="auto"/>
          <w:sz w:val="32"/>
          <w:szCs w:val="32"/>
          <w:lang w:val="en-US" w:eastAsia="zh-CN"/>
        </w:rPr>
        <w:t>1.强化</w:t>
      </w:r>
      <w:r>
        <w:rPr>
          <w:rFonts w:hint="default" w:ascii="Times New Roman" w:hAnsi="Times New Roman" w:eastAsia="楷体" w:cs="Times New Roman"/>
          <w:color w:val="auto"/>
          <w:sz w:val="32"/>
          <w:szCs w:val="32"/>
          <w:lang w:eastAsia="zh-CN"/>
        </w:rPr>
        <w:t>思想政治教育</w:t>
      </w:r>
      <w:r>
        <w:rPr>
          <w:rFonts w:hint="default" w:ascii="Times New Roman" w:hAnsi="Times New Roman" w:eastAsia="楷体" w:cs="Times New Roman"/>
          <w:color w:val="auto"/>
          <w:sz w:val="32"/>
          <w:szCs w:val="32"/>
        </w:rPr>
        <w:t>。</w:t>
      </w:r>
      <w:r>
        <w:rPr>
          <w:rFonts w:hint="default" w:ascii="Times New Roman" w:hAnsi="Times New Roman" w:eastAsia="仿宋_GB2312" w:cs="Times New Roman"/>
          <w:color w:val="auto"/>
          <w:sz w:val="32"/>
          <w:szCs w:val="32"/>
          <w:shd w:val="clear" w:color="auto" w:fill="auto"/>
          <w:lang w:val="en-US" w:eastAsia="zh-CN"/>
        </w:rPr>
        <w:t>始终把学习宣传贯彻党的二十大精神作为首要政治任务，严格按照县委和省市院的工作要求，认真开展学习贯彻习近平新时代中国特色社会主义思想主题教育，成立以党组书记、检察长为组长的主题教育领导小组，按照学习计划，结合上级和院党总支安排，分类分级推进主题教育，把学习抓实抓细。组织“党员先锋示范岗”评选等多形式的主题教育交流活动，做到以上率下</w:t>
      </w:r>
      <w:r>
        <w:rPr>
          <w:rFonts w:hint="default" w:ascii="Times New Roman" w:hAnsi="Times New Roman" w:eastAsia="仿宋_GB2312" w:cs="Times New Roman"/>
          <w:b w:val="0"/>
          <w:bCs w:val="0"/>
          <w:color w:val="auto"/>
          <w:sz w:val="32"/>
          <w:szCs w:val="32"/>
          <w:shd w:val="clear" w:color="auto" w:fill="auto"/>
          <w:lang w:val="en-US" w:eastAsia="zh-CN"/>
        </w:rPr>
        <w:t>、模范带动</w:t>
      </w:r>
      <w:r>
        <w:rPr>
          <w:rFonts w:hint="eastAsia" w:ascii="Times New Roman" w:hAnsi="Times New Roman" w:eastAsia="仿宋_GB2312" w:cs="Times New Roman"/>
          <w:b w:val="0"/>
          <w:bCs w:val="0"/>
          <w:color w:val="auto"/>
          <w:sz w:val="32"/>
          <w:szCs w:val="32"/>
          <w:shd w:val="clear" w:color="auto" w:fill="auto"/>
          <w:lang w:val="en-US" w:eastAsia="zh-CN"/>
        </w:rPr>
        <w:t>、</w:t>
      </w:r>
      <w:r>
        <w:rPr>
          <w:rFonts w:hint="default" w:ascii="Times New Roman" w:hAnsi="Times New Roman" w:eastAsia="仿宋_GB2312" w:cs="Times New Roman"/>
          <w:b w:val="0"/>
          <w:bCs w:val="0"/>
          <w:color w:val="auto"/>
          <w:sz w:val="32"/>
          <w:szCs w:val="32"/>
          <w:shd w:val="clear" w:color="auto" w:fill="auto"/>
          <w:lang w:val="en-US" w:eastAsia="zh-CN"/>
        </w:rPr>
        <w:t>全院覆盖</w:t>
      </w:r>
      <w:r>
        <w:rPr>
          <w:rFonts w:hint="default" w:ascii="Times New Roman" w:hAnsi="Times New Roman" w:eastAsia="仿宋_GB2312" w:cs="Times New Roman"/>
          <w:color w:val="auto"/>
          <w:sz w:val="32"/>
          <w:szCs w:val="32"/>
          <w:shd w:val="clear" w:color="auto" w:fill="auto"/>
          <w:lang w:val="en-US" w:eastAsia="zh-CN"/>
        </w:rPr>
        <w:t>。</w:t>
      </w:r>
    </w:p>
    <w:p w14:paraId="5A02F5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楷体" w:cs="Times New Roman"/>
          <w:color w:val="auto"/>
          <w:sz w:val="32"/>
          <w:szCs w:val="32"/>
          <w:shd w:val="clear" w:color="auto" w:fill="auto"/>
          <w:lang w:val="en-US" w:eastAsia="zh-CN"/>
        </w:rPr>
        <w:t>2.提升检察工作质效。</w:t>
      </w:r>
      <w:r>
        <w:rPr>
          <w:rFonts w:hint="default" w:ascii="Times New Roman" w:hAnsi="Times New Roman" w:eastAsia="仿宋_GB2312" w:cs="Times New Roman"/>
          <w:color w:val="auto"/>
          <w:sz w:val="32"/>
          <w:szCs w:val="32"/>
          <w:shd w:val="clear" w:color="auto" w:fill="auto"/>
          <w:lang w:val="en-US" w:eastAsia="zh-CN"/>
        </w:rPr>
        <w:t>深入落实检察业务考评体系，一体推进“周通报、月总结、季讲评、年考核”的业务督导，激发干警创先争优的意识。认真践行院领导带头办案制度，以“头雁效应”激发“群雁活力”，入额院领导共办理各类案件308件。以学促进，组织参加省、市院各类培训148人次，选派5名干警参加上级跟班培训，运用法律政策、领悟法治精神、统筹法理情的能力得到提升。</w:t>
      </w:r>
    </w:p>
    <w:p w14:paraId="33A464EE">
      <w:pPr>
        <w:pStyle w:val="5"/>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楷体" w:cs="Times New Roman"/>
          <w:b w:val="0"/>
          <w:bCs w:val="0"/>
          <w:color w:val="auto"/>
          <w:sz w:val="32"/>
          <w:szCs w:val="32"/>
          <w:lang w:val="en-US" w:eastAsia="zh-CN"/>
        </w:rPr>
        <w:t>3.加大全面从严治检力度。</w:t>
      </w:r>
      <w:r>
        <w:rPr>
          <w:rFonts w:hint="default" w:ascii="Times New Roman" w:hAnsi="Times New Roman" w:eastAsia="仿宋_GB2312" w:cs="Times New Roman"/>
          <w:color w:val="auto"/>
          <w:kern w:val="2"/>
          <w:sz w:val="32"/>
          <w:szCs w:val="32"/>
          <w:shd w:val="clear" w:color="auto" w:fill="auto"/>
          <w:lang w:val="en-US" w:eastAsia="zh-CN" w:bidi="ar-SA"/>
        </w:rPr>
        <w:t>深入贯彻“干部作风建设年”活动，制定《澧县人民检察院关于进一步加强队伍纪律作风建设的决定》，加大日常管理力度，形成实用长效的监督机制。结合十二届省委第三轮巡视发现的共性问题</w:t>
      </w:r>
      <w:r>
        <w:rPr>
          <w:rFonts w:hint="eastAsia" w:ascii="Times New Roman" w:hAnsi="Times New Roman" w:eastAsia="仿宋_GB2312" w:cs="Times New Roman"/>
          <w:color w:val="auto"/>
          <w:kern w:val="2"/>
          <w:sz w:val="32"/>
          <w:szCs w:val="32"/>
          <w:shd w:val="clear" w:color="auto" w:fill="auto"/>
          <w:lang w:val="en-US" w:eastAsia="zh-CN" w:bidi="ar-SA"/>
        </w:rPr>
        <w:t>，</w:t>
      </w:r>
      <w:r>
        <w:rPr>
          <w:rFonts w:hint="default" w:ascii="Times New Roman" w:hAnsi="Times New Roman" w:eastAsia="仿宋_GB2312" w:cs="Times New Roman"/>
          <w:color w:val="auto"/>
          <w:kern w:val="2"/>
          <w:sz w:val="32"/>
          <w:szCs w:val="32"/>
          <w:shd w:val="clear" w:color="auto" w:fill="auto"/>
          <w:lang w:val="en-US" w:eastAsia="zh-CN" w:bidi="ar-SA"/>
        </w:rPr>
        <w:t>对本院作风建设进行全面的查摆梳理。严格落实“两个责任”“一岗双责”，签订党风廉政建设责任状14份。主动接受县纪委驻政法委纪检组对落实“三重一大”制度、执行民主集中制及选人用人、廉洁自律等情况的监督。严格落实“三个规定”，全年共填报信息154条。组织学习各级纪委关于违反中央八项规定精神典型案例通报，召开党风廉政警示教育大会，检察长上廉政党课。开展清廉机关建设，邀请湖南硬笔书法家协会来院举办书法活动，用书法文化活动形式增强干警廉政意识。</w:t>
      </w:r>
    </w:p>
    <w:p w14:paraId="78865CA5">
      <w:pPr>
        <w:pStyle w:val="5"/>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shd w:val="clear" w:color="auto" w:fill="auto"/>
          <w:lang w:val="en-US" w:eastAsia="zh-CN" w:bidi="ar-SA"/>
        </w:rPr>
        <w:t>五、</w:t>
      </w:r>
      <w:r>
        <w:rPr>
          <w:rFonts w:hint="eastAsia" w:ascii="黑体" w:hAnsi="黑体" w:eastAsia="黑体" w:cs="黑体"/>
          <w:color w:val="auto"/>
          <w:sz w:val="32"/>
          <w:szCs w:val="32"/>
          <w:lang w:eastAsia="zh-CN"/>
        </w:rPr>
        <w:t>树立“监督者更要接受监督”理念</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以开放坦诚的姿态阳光司法</w:t>
      </w:r>
    </w:p>
    <w:p w14:paraId="32C1152A">
      <w:pPr>
        <w:pStyle w:val="5"/>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shd w:val="clear" w:color="auto" w:fill="auto"/>
          <w:lang w:val="en-US" w:eastAsia="zh-CN"/>
        </w:rPr>
        <w:t>1.全面接受人大监督。</w:t>
      </w:r>
      <w:r>
        <w:rPr>
          <w:rFonts w:hint="default" w:ascii="Times New Roman" w:hAnsi="Times New Roman" w:eastAsia="仿宋_GB2312" w:cs="Times New Roman"/>
          <w:color w:val="auto"/>
          <w:sz w:val="32"/>
          <w:szCs w:val="32"/>
        </w:rPr>
        <w:t>坚决</w:t>
      </w:r>
      <w:r>
        <w:rPr>
          <w:rFonts w:hint="default" w:ascii="Times New Roman" w:hAnsi="Times New Roman" w:eastAsia="仿宋_GB2312" w:cs="Times New Roman"/>
          <w:color w:val="auto"/>
          <w:sz w:val="32"/>
          <w:szCs w:val="32"/>
          <w:lang w:eastAsia="zh-CN"/>
        </w:rPr>
        <w:t>贯彻落实</w:t>
      </w:r>
      <w:r>
        <w:rPr>
          <w:rFonts w:hint="default" w:ascii="Times New Roman" w:hAnsi="Times New Roman" w:eastAsia="仿宋_GB2312" w:cs="Times New Roman"/>
          <w:color w:val="auto"/>
          <w:sz w:val="32"/>
          <w:szCs w:val="32"/>
        </w:rPr>
        <w:t>人大及其常委会决议决定</w:t>
      </w:r>
      <w:r>
        <w:rPr>
          <w:rFonts w:hint="default" w:ascii="Times New Roman" w:hAnsi="Times New Roman" w:eastAsia="仿宋_GB2312" w:cs="Times New Roman"/>
          <w:color w:val="auto"/>
          <w:sz w:val="32"/>
          <w:szCs w:val="32"/>
          <w:lang w:eastAsia="zh-CN"/>
        </w:rPr>
        <w:t>和审议意见，</w:t>
      </w:r>
      <w:r>
        <w:rPr>
          <w:rFonts w:hint="default" w:ascii="Times New Roman" w:hAnsi="Times New Roman" w:eastAsia="仿宋_GB2312" w:cs="Times New Roman"/>
          <w:color w:val="auto"/>
          <w:sz w:val="32"/>
          <w:szCs w:val="32"/>
          <w:shd w:val="clear" w:color="auto" w:fill="auto"/>
        </w:rPr>
        <w:t>不定期向</w:t>
      </w:r>
      <w:r>
        <w:rPr>
          <w:rFonts w:hint="default" w:ascii="Times New Roman" w:hAnsi="Times New Roman" w:eastAsia="仿宋_GB2312" w:cs="Times New Roman"/>
          <w:color w:val="auto"/>
          <w:sz w:val="32"/>
          <w:szCs w:val="32"/>
          <w:shd w:val="clear" w:color="auto" w:fill="auto"/>
          <w:lang w:eastAsia="zh-CN"/>
        </w:rPr>
        <w:t>其</w:t>
      </w:r>
      <w:r>
        <w:rPr>
          <w:rFonts w:hint="default" w:ascii="Times New Roman" w:hAnsi="Times New Roman" w:eastAsia="仿宋_GB2312" w:cs="Times New Roman"/>
          <w:color w:val="auto"/>
          <w:sz w:val="32"/>
          <w:szCs w:val="32"/>
          <w:shd w:val="clear" w:color="auto" w:fill="auto"/>
        </w:rPr>
        <w:t>报告</w:t>
      </w:r>
      <w:r>
        <w:rPr>
          <w:rFonts w:hint="default" w:ascii="Times New Roman" w:hAnsi="Times New Roman" w:eastAsia="仿宋_GB2312" w:cs="Times New Roman"/>
          <w:color w:val="auto"/>
          <w:sz w:val="32"/>
          <w:szCs w:val="32"/>
          <w:shd w:val="clear" w:color="auto" w:fill="auto"/>
          <w:lang w:eastAsia="zh-CN"/>
        </w:rPr>
        <w:t>重点</w:t>
      </w:r>
      <w:r>
        <w:rPr>
          <w:rFonts w:hint="default" w:ascii="Times New Roman" w:hAnsi="Times New Roman" w:eastAsia="仿宋_GB2312" w:cs="Times New Roman"/>
          <w:color w:val="auto"/>
          <w:sz w:val="32"/>
          <w:szCs w:val="32"/>
          <w:shd w:val="clear" w:color="auto" w:fill="auto"/>
        </w:rPr>
        <w:t>工作、重大案件等</w:t>
      </w:r>
      <w:r>
        <w:rPr>
          <w:rFonts w:hint="default" w:ascii="Times New Roman" w:hAnsi="Times New Roman" w:eastAsia="仿宋_GB2312" w:cs="Times New Roman"/>
          <w:color w:val="auto"/>
          <w:sz w:val="32"/>
          <w:szCs w:val="32"/>
          <w:shd w:val="clear" w:color="auto" w:fill="auto"/>
          <w:lang w:val="en-US" w:eastAsia="zh-CN"/>
        </w:rPr>
        <w:t>20</w:t>
      </w:r>
      <w:r>
        <w:rPr>
          <w:rFonts w:hint="default" w:ascii="Times New Roman" w:hAnsi="Times New Roman" w:eastAsia="仿宋_GB2312" w:cs="Times New Roman"/>
          <w:color w:val="auto"/>
          <w:sz w:val="32"/>
          <w:szCs w:val="32"/>
          <w:shd w:val="clear" w:color="auto" w:fill="auto"/>
        </w:rPr>
        <w:t>余次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shd w:val="clear" w:color="auto" w:fill="auto"/>
          <w:lang w:eastAsia="zh-CN"/>
        </w:rPr>
        <w:t>积极接受省人大常委会来院调研，邀请县人大常委会参与检察官履职评议。</w:t>
      </w:r>
      <w:r>
        <w:rPr>
          <w:rFonts w:hint="default" w:ascii="Times New Roman" w:hAnsi="Times New Roman" w:eastAsia="仿宋_GB2312" w:cs="Times New Roman"/>
          <w:color w:val="auto"/>
          <w:sz w:val="32"/>
          <w:szCs w:val="32"/>
          <w:lang w:val="en-US" w:eastAsia="zh-CN"/>
        </w:rPr>
        <w:t>充分发挥人大代表联络站的积极作用，开展“代表联动话监督”专项活动，</w:t>
      </w:r>
      <w:r>
        <w:rPr>
          <w:rFonts w:hint="default" w:ascii="Times New Roman" w:hAnsi="Times New Roman" w:eastAsia="仿宋_GB2312" w:cs="Times New Roman"/>
          <w:color w:val="auto"/>
          <w:sz w:val="32"/>
          <w:szCs w:val="32"/>
          <w:shd w:val="clear" w:color="auto" w:fill="auto"/>
          <w:lang w:eastAsia="zh-CN"/>
        </w:rPr>
        <w:t>邀请人大代表参加听庭评议、参与社区矫正监督、视察矿山复绿情况等活动</w:t>
      </w:r>
      <w:r>
        <w:rPr>
          <w:rFonts w:hint="default" w:ascii="Times New Roman" w:hAnsi="Times New Roman" w:eastAsia="仿宋_GB2312" w:cs="Times New Roman"/>
          <w:color w:val="auto"/>
          <w:sz w:val="32"/>
          <w:szCs w:val="32"/>
          <w:shd w:val="clear" w:color="auto" w:fill="auto"/>
          <w:lang w:val="en-US" w:eastAsia="zh-CN"/>
        </w:rPr>
        <w:t>75人次</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举行驻看守所检察室、生态环境、未成年人检察等主题开放日活动，</w:t>
      </w:r>
      <w:r>
        <w:rPr>
          <w:rFonts w:hint="default" w:ascii="Times New Roman" w:hAnsi="Times New Roman" w:eastAsia="仿宋_GB2312" w:cs="Times New Roman"/>
          <w:color w:val="auto"/>
          <w:sz w:val="32"/>
          <w:szCs w:val="32"/>
          <w:lang w:val="en-US" w:eastAsia="zh-CN"/>
        </w:rPr>
        <w:t>形成“人大监督+检察监督”工作合力。</w:t>
      </w:r>
    </w:p>
    <w:p w14:paraId="66125E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lang w:val="en-US" w:eastAsia="zh-CN"/>
        </w:rPr>
        <w:t>2.积</w:t>
      </w:r>
      <w:r>
        <w:rPr>
          <w:rFonts w:hint="default" w:ascii="Times New Roman" w:hAnsi="Times New Roman" w:eastAsia="楷体" w:cs="Times New Roman"/>
          <w:color w:val="auto"/>
          <w:spacing w:val="6"/>
          <w:sz w:val="32"/>
          <w:szCs w:val="32"/>
          <w:lang w:val="en-US" w:eastAsia="zh-CN"/>
        </w:rPr>
        <w:t>极接受民主监督。</w:t>
      </w:r>
      <w:r>
        <w:rPr>
          <w:rFonts w:hint="default" w:ascii="Times New Roman" w:hAnsi="Times New Roman" w:eastAsia="仿宋_GB2312" w:cs="Times New Roman"/>
          <w:color w:val="auto"/>
          <w:spacing w:val="6"/>
          <w:sz w:val="32"/>
          <w:szCs w:val="32"/>
          <w:lang w:val="en-US" w:eastAsia="zh-CN"/>
        </w:rPr>
        <w:t>加强与民主党派、工商联和无党派人士联系，</w:t>
      </w:r>
      <w:r>
        <w:rPr>
          <w:rFonts w:hint="default" w:ascii="Times New Roman" w:hAnsi="Times New Roman" w:eastAsia="仿宋_GB2312" w:cs="Times New Roman"/>
          <w:color w:val="auto"/>
          <w:spacing w:val="6"/>
          <w:sz w:val="32"/>
          <w:szCs w:val="32"/>
          <w:shd w:val="clear" w:color="auto" w:fill="auto"/>
          <w:lang w:val="en-US" w:eastAsia="zh-CN"/>
        </w:rPr>
        <w:t>积极接受县政协来院调研指导</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color w:val="auto"/>
          <w:spacing w:val="6"/>
          <w:sz w:val="32"/>
          <w:szCs w:val="32"/>
          <w:shd w:val="clear" w:color="auto" w:fill="auto"/>
          <w:lang w:val="en-US" w:eastAsia="zh-CN"/>
        </w:rPr>
        <w:t>邀请政协委员、人民监督员等参与旁听庭审、案件听证、检察开放日等活动13人次，</w:t>
      </w:r>
      <w:r>
        <w:rPr>
          <w:rFonts w:hint="default" w:ascii="Times New Roman" w:hAnsi="Times New Roman" w:eastAsia="仿宋_GB2312" w:cs="Times New Roman"/>
          <w:color w:val="auto"/>
          <w:spacing w:val="6"/>
          <w:sz w:val="32"/>
          <w:szCs w:val="32"/>
          <w:lang w:eastAsia="zh-CN"/>
        </w:rPr>
        <w:t>让政协委员、人民监督员“零距离”“全方位”“沉浸式”感受检察作为</w:t>
      </w:r>
      <w:r>
        <w:rPr>
          <w:rFonts w:hint="default" w:ascii="Times New Roman" w:hAnsi="Times New Roman" w:eastAsia="仿宋_GB2312" w:cs="Times New Roman"/>
          <w:color w:val="auto"/>
          <w:sz w:val="32"/>
          <w:szCs w:val="32"/>
          <w:lang w:eastAsia="zh-CN"/>
        </w:rPr>
        <w:t>。</w:t>
      </w:r>
    </w:p>
    <w:p w14:paraId="4B2BFE23">
      <w:pPr>
        <w:pStyle w:val="5"/>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lang w:val="en-US" w:eastAsia="zh-CN"/>
        </w:rPr>
        <w:t>3.广泛接受社会监督。</w:t>
      </w:r>
      <w:r>
        <w:rPr>
          <w:rFonts w:hint="default" w:ascii="Times New Roman" w:hAnsi="Times New Roman" w:eastAsia="仿宋_GB2312" w:cs="Times New Roman"/>
          <w:color w:val="auto"/>
          <w:sz w:val="32"/>
          <w:szCs w:val="32"/>
          <w:lang w:val="en-US" w:eastAsia="zh-CN"/>
        </w:rPr>
        <w:t>落实“谁执法谁普法”责任制，</w:t>
      </w:r>
      <w:r>
        <w:rPr>
          <w:rFonts w:hint="default" w:ascii="Times New Roman" w:hAnsi="Times New Roman" w:eastAsia="仿宋_GB2312" w:cs="Times New Roman"/>
          <w:color w:val="auto"/>
          <w:sz w:val="32"/>
          <w:szCs w:val="32"/>
          <w:shd w:val="clear" w:color="auto" w:fill="auto"/>
          <w:lang w:eastAsia="zh-CN"/>
        </w:rPr>
        <w:t>开展民法典、知识产权、反电诈等主题法治宣传活动</w:t>
      </w:r>
      <w:r>
        <w:rPr>
          <w:rFonts w:hint="default" w:ascii="Times New Roman" w:hAnsi="Times New Roman" w:eastAsia="仿宋_GB2312" w:cs="Times New Roman"/>
          <w:color w:val="auto"/>
          <w:sz w:val="32"/>
          <w:szCs w:val="32"/>
          <w:shd w:val="clear" w:color="auto" w:fill="auto"/>
          <w:lang w:val="en-US" w:eastAsia="zh-CN"/>
        </w:rPr>
        <w:t>21次</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lang w:eastAsia="zh-CN"/>
        </w:rPr>
        <w:t>邀请县内多家快递公司从业人员</w:t>
      </w:r>
      <w:r>
        <w:rPr>
          <w:rFonts w:hint="default" w:ascii="Times New Roman" w:hAnsi="Times New Roman" w:eastAsia="仿宋_GB2312" w:cs="Times New Roman"/>
          <w:color w:val="auto"/>
          <w:sz w:val="32"/>
          <w:szCs w:val="32"/>
          <w:lang w:val="en-US" w:eastAsia="zh-CN"/>
        </w:rPr>
        <w:t>20余人</w:t>
      </w:r>
      <w:r>
        <w:rPr>
          <w:rFonts w:hint="default" w:ascii="Times New Roman" w:hAnsi="Times New Roman" w:eastAsia="仿宋_GB2312" w:cs="Times New Roman"/>
          <w:color w:val="auto"/>
          <w:sz w:val="32"/>
          <w:szCs w:val="32"/>
          <w:lang w:eastAsia="zh-CN"/>
        </w:rPr>
        <w:t>来院参与禁毒教育授课活动，为守护寄递行业安全提供检察思路。建好用好检察宣传主渠道主阵地，</w:t>
      </w:r>
      <w:r>
        <w:rPr>
          <w:rFonts w:hint="default" w:ascii="Times New Roman" w:hAnsi="Times New Roman" w:eastAsia="仿宋_GB2312" w:cs="Times New Roman"/>
          <w:color w:val="auto"/>
          <w:sz w:val="32"/>
          <w:szCs w:val="32"/>
          <w:shd w:val="clear" w:color="auto" w:fill="auto"/>
          <w:lang w:eastAsia="zh-CN"/>
        </w:rPr>
        <w:t>通过“一网两微一端”发布检察工作信息</w:t>
      </w:r>
      <w:r>
        <w:rPr>
          <w:rFonts w:hint="default" w:ascii="Times New Roman" w:hAnsi="Times New Roman" w:eastAsia="仿宋_GB2312" w:cs="Times New Roman"/>
          <w:color w:val="auto"/>
          <w:sz w:val="32"/>
          <w:szCs w:val="32"/>
          <w:shd w:val="clear" w:color="auto" w:fill="auto"/>
          <w:lang w:val="en-US" w:eastAsia="zh-CN"/>
        </w:rPr>
        <w:t>200</w:t>
      </w:r>
      <w:r>
        <w:rPr>
          <w:rFonts w:hint="default" w:ascii="Times New Roman" w:hAnsi="Times New Roman" w:eastAsia="仿宋_GB2312" w:cs="Times New Roman"/>
          <w:color w:val="auto"/>
          <w:sz w:val="32"/>
          <w:szCs w:val="32"/>
          <w:shd w:val="clear" w:color="auto" w:fill="auto"/>
          <w:lang w:eastAsia="zh-CN"/>
        </w:rPr>
        <w:t>余篇，</w:t>
      </w:r>
      <w:r>
        <w:rPr>
          <w:rFonts w:hint="default" w:ascii="Times New Roman" w:hAnsi="Times New Roman" w:eastAsia="仿宋_GB2312" w:cs="Times New Roman"/>
          <w:color w:val="auto"/>
          <w:sz w:val="32"/>
          <w:szCs w:val="32"/>
          <w:shd w:val="clear" w:color="auto" w:fill="auto"/>
          <w:lang w:val="en-US" w:eastAsia="zh-CN"/>
        </w:rPr>
        <w:t>编发</w:t>
      </w:r>
      <w:r>
        <w:rPr>
          <w:rFonts w:hint="default" w:ascii="Times New Roman" w:hAnsi="Times New Roman" w:eastAsia="仿宋_GB2312" w:cs="Times New Roman"/>
          <w:color w:val="auto"/>
          <w:sz w:val="32"/>
          <w:szCs w:val="32"/>
          <w:shd w:val="clear" w:color="auto" w:fill="auto"/>
          <w:lang w:eastAsia="zh-CN"/>
        </w:rPr>
        <w:t>“澧县检察”公众号</w:t>
      </w:r>
      <w:r>
        <w:rPr>
          <w:rFonts w:hint="default" w:ascii="Times New Roman" w:hAnsi="Times New Roman" w:eastAsia="仿宋_GB2312" w:cs="Times New Roman"/>
          <w:color w:val="auto"/>
          <w:sz w:val="32"/>
          <w:szCs w:val="32"/>
          <w:shd w:val="clear" w:color="auto" w:fill="auto"/>
          <w:lang w:val="en-US" w:eastAsia="zh-CN"/>
        </w:rPr>
        <w:t>52</w:t>
      </w:r>
      <w:r>
        <w:rPr>
          <w:rFonts w:hint="default" w:ascii="Times New Roman" w:hAnsi="Times New Roman" w:eastAsia="仿宋_GB2312" w:cs="Times New Roman"/>
          <w:color w:val="auto"/>
          <w:sz w:val="32"/>
          <w:szCs w:val="32"/>
          <w:shd w:val="clear" w:color="auto" w:fill="auto"/>
          <w:lang w:eastAsia="zh-CN"/>
        </w:rPr>
        <w:t>期</w:t>
      </w:r>
      <w:r>
        <w:rPr>
          <w:rFonts w:hint="default" w:ascii="Times New Roman" w:hAnsi="Times New Roman" w:eastAsia="仿宋_GB2312" w:cs="Times New Roman"/>
          <w:color w:val="auto"/>
          <w:sz w:val="32"/>
          <w:szCs w:val="32"/>
          <w:shd w:val="clear" w:color="auto" w:fill="auto"/>
          <w:lang w:val="en-US" w:eastAsia="zh-CN"/>
        </w:rPr>
        <w:t>60</w:t>
      </w:r>
      <w:r>
        <w:rPr>
          <w:rFonts w:hint="default" w:ascii="Times New Roman" w:hAnsi="Times New Roman" w:eastAsia="仿宋_GB2312" w:cs="Times New Roman"/>
          <w:color w:val="auto"/>
          <w:sz w:val="32"/>
          <w:szCs w:val="32"/>
          <w:shd w:val="clear" w:color="auto" w:fill="auto"/>
          <w:lang w:eastAsia="zh-CN"/>
        </w:rPr>
        <w:t>篇，</w:t>
      </w:r>
      <w:r>
        <w:rPr>
          <w:rFonts w:hint="default" w:ascii="Times New Roman" w:hAnsi="Times New Roman" w:eastAsia="仿宋_GB2312" w:cs="Times New Roman"/>
          <w:color w:val="auto"/>
          <w:sz w:val="32"/>
          <w:szCs w:val="32"/>
          <w:lang w:eastAsia="zh-CN"/>
        </w:rPr>
        <w:t>今日头条“澧县检察”连续两个月进入湖南政法新媒体检察榜前五，绘画作品《法治在心中》获评最高检</w:t>
      </w:r>
      <w:r>
        <w:rPr>
          <w:rFonts w:hint="default" w:ascii="Times New Roman" w:hAnsi="Times New Roman" w:eastAsia="仿宋_GB2312" w:cs="Times New Roman"/>
          <w:color w:val="auto"/>
          <w:sz w:val="32"/>
          <w:szCs w:val="32"/>
          <w:lang w:val="en-US" w:eastAsia="zh-CN"/>
        </w:rPr>
        <w:t>第二届“未成年法治手绘画廊”</w:t>
      </w:r>
      <w:r>
        <w:rPr>
          <w:rFonts w:hint="default" w:ascii="Times New Roman" w:hAnsi="Times New Roman" w:eastAsia="仿宋_GB2312" w:cs="Times New Roman"/>
          <w:color w:val="auto"/>
          <w:sz w:val="32"/>
          <w:szCs w:val="32"/>
          <w:lang w:eastAsia="zh-CN"/>
        </w:rPr>
        <w:t>活动三等奖，让人民群众在每一个检察</w:t>
      </w:r>
      <w:r>
        <w:rPr>
          <w:rFonts w:hint="eastAsia" w:ascii="Times New Roman" w:hAnsi="Times New Roman" w:eastAsia="仿宋_GB2312" w:cs="Times New Roman"/>
          <w:color w:val="auto"/>
          <w:sz w:val="32"/>
          <w:szCs w:val="32"/>
          <w:lang w:eastAsia="zh-CN"/>
        </w:rPr>
        <w:t>作</w:t>
      </w:r>
      <w:r>
        <w:rPr>
          <w:rFonts w:hint="default" w:ascii="Times New Roman" w:hAnsi="Times New Roman" w:eastAsia="仿宋_GB2312" w:cs="Times New Roman"/>
          <w:color w:val="auto"/>
          <w:sz w:val="32"/>
          <w:szCs w:val="32"/>
          <w:lang w:eastAsia="zh-CN"/>
        </w:rPr>
        <w:t>品中真切感受到检察机关维护公平正义的不懈努力。</w:t>
      </w:r>
    </w:p>
    <w:p w14:paraId="79F17740">
      <w:pPr>
        <w:pStyle w:val="5"/>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位代表，过去一年澧县检察工作的发展进步，离不开上级检察院和县委的坚强领导，离不开县人大及其常委会的有力监督，离不开县政府的大力支持、县政协的民主监督，更离不开各位代表、各位委员和社会各界的关心与支持。在此，我代表县检察院和全体干警表示衷心感谢并致以崇高敬意！</w:t>
      </w:r>
    </w:p>
    <w:p w14:paraId="3E1B8E62">
      <w:pPr>
        <w:keepNext w:val="0"/>
        <w:keepLines w:val="0"/>
        <w:pageBreakBefore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回顾一年来的工作，我们更加清醒地认识到，澧县检察工作仍然存在一些困难和短板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lang w:val="en-US" w:eastAsia="zh-CN"/>
        </w:rPr>
        <w:t>一是司法机关需要进一步沟通协调。</w:t>
      </w:r>
      <w:r>
        <w:rPr>
          <w:rFonts w:hint="default" w:ascii="Times New Roman" w:hAnsi="Times New Roman" w:eastAsia="仿宋_GB2312" w:cs="Times New Roman"/>
          <w:color w:val="auto"/>
          <w:sz w:val="32"/>
          <w:szCs w:val="32"/>
          <w:lang w:val="en-US" w:eastAsia="zh-CN"/>
        </w:rPr>
        <w:t>在实际办案过程中，公检法在部分案件细节的认识上存在一定分歧，业务考核体系中部分指标存在对立冲突，需要优化协作模式。</w:t>
      </w:r>
      <w:r>
        <w:rPr>
          <w:rFonts w:hint="default" w:ascii="Times New Roman" w:hAnsi="Times New Roman" w:eastAsia="仿宋_GB2312" w:cs="Times New Roman"/>
          <w:b/>
          <w:bCs/>
          <w:color w:val="auto"/>
          <w:sz w:val="32"/>
          <w:szCs w:val="32"/>
          <w:lang w:val="en-US" w:eastAsia="zh-CN"/>
        </w:rPr>
        <w:t>二是检察人员素质需要进一步提升。</w:t>
      </w:r>
      <w:r>
        <w:rPr>
          <w:rFonts w:hint="default" w:ascii="Times New Roman" w:hAnsi="Times New Roman" w:eastAsia="仿宋_GB2312" w:cs="Times New Roman"/>
          <w:color w:val="auto"/>
          <w:sz w:val="32"/>
          <w:szCs w:val="32"/>
          <w:lang w:val="en-US" w:eastAsia="zh-CN"/>
        </w:rPr>
        <w:t>基层院案多人少的现状导致办案机械化、模式化，</w:t>
      </w:r>
      <w:r>
        <w:rPr>
          <w:rFonts w:hint="default" w:ascii="Times New Roman" w:hAnsi="Times New Roman" w:eastAsia="仿宋_GB2312" w:cs="Times New Roman"/>
          <w:color w:val="auto"/>
          <w:sz w:val="32"/>
          <w:szCs w:val="32"/>
        </w:rPr>
        <w:t>干警专业知识结构单一</w:t>
      </w:r>
      <w:r>
        <w:rPr>
          <w:rFonts w:hint="default" w:ascii="Times New Roman" w:hAnsi="Times New Roman" w:eastAsia="仿宋_GB2312" w:cs="Times New Roman"/>
          <w:color w:val="auto"/>
          <w:sz w:val="32"/>
          <w:szCs w:val="32"/>
          <w:lang w:eastAsia="zh-CN"/>
        </w:rPr>
        <w:t>，司法理念、素质能力等跟不上检察工作高质量发展需求。</w:t>
      </w:r>
      <w:r>
        <w:rPr>
          <w:rFonts w:hint="default" w:ascii="Times New Roman" w:hAnsi="Times New Roman" w:eastAsia="仿宋_GB2312" w:cs="Times New Roman"/>
          <w:color w:val="auto"/>
          <w:sz w:val="32"/>
          <w:szCs w:val="32"/>
          <w:lang w:val="en-US" w:eastAsia="zh-CN"/>
        </w:rPr>
        <w:t>对于新型业务的开展和新出台的法律条款、司法解释等认识不够深入，办案水平还有待提升。</w:t>
      </w:r>
      <w:r>
        <w:rPr>
          <w:rFonts w:hint="default" w:ascii="Times New Roman" w:hAnsi="Times New Roman" w:eastAsia="仿宋_GB2312" w:cs="Times New Roman"/>
          <w:color w:val="auto"/>
          <w:sz w:val="32"/>
          <w:szCs w:val="32"/>
        </w:rPr>
        <w:t>对上述存在的问题，我们将高度重视，紧盯不放，切实加以解决。</w:t>
      </w:r>
    </w:p>
    <w:p w14:paraId="411897D8">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黑体" w:cs="Times New Roman"/>
          <w:color w:val="auto"/>
          <w:sz w:val="32"/>
          <w:szCs w:val="32"/>
        </w:rPr>
      </w:pPr>
    </w:p>
    <w:p w14:paraId="52AEF7C6">
      <w:pPr>
        <w:keepNext w:val="0"/>
        <w:keepLines w:val="0"/>
        <w:pageBreakBefore w:val="0"/>
        <w:kinsoku/>
        <w:wordWrap/>
        <w:overflowPunct/>
        <w:topLinePunct w:val="0"/>
        <w:autoSpaceDE/>
        <w:autoSpaceDN/>
        <w:bidi w:val="0"/>
        <w:snapToGrid/>
        <w:spacing w:line="576"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202</w:t>
      </w:r>
      <w:r>
        <w:rPr>
          <w:rFonts w:hint="default" w:ascii="Times New Roman" w:hAnsi="Times New Roman" w:eastAsia="黑体" w:cs="Times New Roman"/>
          <w:color w:val="auto"/>
          <w:sz w:val="32"/>
          <w:szCs w:val="32"/>
          <w:lang w:val="en-US" w:eastAsia="zh-CN"/>
        </w:rPr>
        <w:t>4</w:t>
      </w:r>
      <w:r>
        <w:rPr>
          <w:rFonts w:hint="default" w:ascii="Times New Roman" w:hAnsi="Times New Roman" w:eastAsia="黑体" w:cs="Times New Roman"/>
          <w:color w:val="auto"/>
          <w:sz w:val="32"/>
          <w:szCs w:val="32"/>
        </w:rPr>
        <w:t>年工作安排</w:t>
      </w:r>
    </w:p>
    <w:p w14:paraId="64C0C9C8">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p>
    <w:p w14:paraId="5BEC1E92">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县检察院将</w:t>
      </w:r>
      <w:r>
        <w:rPr>
          <w:rFonts w:hint="default" w:ascii="Times New Roman" w:hAnsi="Times New Roman" w:eastAsia="仿宋_GB2312" w:cs="Times New Roman"/>
          <w:color w:val="auto"/>
          <w:sz w:val="32"/>
          <w:szCs w:val="32"/>
          <w:lang w:eastAsia="zh-CN"/>
        </w:rPr>
        <w:t>始终</w:t>
      </w:r>
      <w:r>
        <w:rPr>
          <w:rFonts w:hint="default" w:ascii="Times New Roman" w:hAnsi="Times New Roman" w:eastAsia="仿宋_GB2312" w:cs="Times New Roman"/>
          <w:color w:val="auto"/>
          <w:sz w:val="32"/>
          <w:szCs w:val="32"/>
        </w:rPr>
        <w:t>坚持以习近平新时代中国特色社会主义思想为指导，</w:t>
      </w:r>
      <w:r>
        <w:rPr>
          <w:rFonts w:hint="default" w:ascii="Times New Roman" w:hAnsi="Times New Roman" w:eastAsia="仿宋_GB2312" w:cs="Times New Roman"/>
          <w:color w:val="auto"/>
          <w:sz w:val="32"/>
          <w:szCs w:val="32"/>
          <w:lang w:eastAsia="zh-CN"/>
        </w:rPr>
        <w:t>全面贯彻习近平法治思想，进一步落实《</w:t>
      </w:r>
      <w:r>
        <w:rPr>
          <w:rFonts w:hint="default" w:ascii="Times New Roman" w:hAnsi="Times New Roman" w:eastAsia="仿宋_GB2312" w:cs="Times New Roman"/>
          <w:color w:val="auto"/>
          <w:sz w:val="32"/>
          <w:szCs w:val="32"/>
        </w:rPr>
        <w:t>中共中央关于加强新时代检察机关法律监督工作的</w:t>
      </w:r>
      <w:r>
        <w:rPr>
          <w:rFonts w:hint="default" w:ascii="Times New Roman" w:hAnsi="Times New Roman" w:eastAsia="仿宋_GB2312" w:cs="Times New Roman"/>
          <w:color w:val="auto"/>
          <w:sz w:val="32"/>
          <w:szCs w:val="32"/>
          <w:lang w:eastAsia="zh-CN"/>
        </w:rPr>
        <w:t>意见》及省委实施意见，立足全国检察长会议要求，紧紧围绕全县工作大局，高质效办好每一个案件，以检察能动履职服务保障全县经济社会高质量发展。</w:t>
      </w:r>
    </w:p>
    <w:p w14:paraId="441455AD">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val="en-US" w:eastAsia="zh-CN"/>
        </w:rPr>
        <w:t>自觉筑牢政治忠诚，确保检察工作沿着正确的轨道坚定行驶</w:t>
      </w:r>
    </w:p>
    <w:p w14:paraId="7BEEB035">
      <w:pPr>
        <w:pStyle w:val="5"/>
        <w:keepNext w:val="0"/>
        <w:keepLines w:val="0"/>
        <w:pageBreakBefore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深入学习贯彻党的二十大和中央政法工作会议精神，牢牢把握新时代新征程检察工作的历史方位和历史使命，持之以恒用</w:t>
      </w:r>
      <w:bookmarkStart w:id="0" w:name="_GoBack"/>
      <w:bookmarkEnd w:id="0"/>
      <w:r>
        <w:rPr>
          <w:rFonts w:hint="eastAsia" w:ascii="Times New Roman" w:hAnsi="Times New Roman" w:eastAsia="仿宋_GB2312" w:cs="Times New Roman"/>
          <w:color w:val="auto"/>
          <w:kern w:val="2"/>
          <w:sz w:val="32"/>
          <w:szCs w:val="32"/>
          <w:lang w:val="en-US" w:eastAsia="zh-CN" w:bidi="ar-SA"/>
        </w:rPr>
        <w:t>习近平新时代中国特色社会主义</w:t>
      </w:r>
      <w:r>
        <w:rPr>
          <w:rFonts w:hint="default" w:ascii="Times New Roman" w:hAnsi="Times New Roman" w:eastAsia="仿宋_GB2312" w:cs="Times New Roman"/>
          <w:color w:val="auto"/>
          <w:kern w:val="2"/>
          <w:sz w:val="32"/>
          <w:szCs w:val="32"/>
          <w:lang w:val="en-US" w:eastAsia="zh-CN" w:bidi="ar-SA"/>
        </w:rPr>
        <w:t>思想凝心铸魂，深刻领悟“两个确立”的决定性意义，增强“四个意识”、坚定“四个自信”、做到“两个维护”，把“从政治上看”落实到检察履职全过程各环节，用政治视角、政治思维、政治效果来审视检察业务工作，维护、保障、促进党的全面领导在法治轨道上、在执法司法活动中得到全面落实，厚植党的执政根基。</w:t>
      </w:r>
    </w:p>
    <w:p w14:paraId="468B661E">
      <w:pPr>
        <w:pStyle w:val="5"/>
        <w:keepNext w:val="0"/>
        <w:keepLines w:val="0"/>
        <w:pageBreakBefore w:val="0"/>
        <w:numPr>
          <w:ilvl w:val="0"/>
          <w:numId w:val="0"/>
        </w:numPr>
        <w:kinsoku/>
        <w:wordWrap/>
        <w:overflowPunct/>
        <w:topLinePunct w:val="0"/>
        <w:autoSpaceDE/>
        <w:autoSpaceDN/>
        <w:bidi w:val="0"/>
        <w:snapToGrid/>
        <w:spacing w:line="576" w:lineRule="exact"/>
        <w:ind w:firstLine="616" w:firstLineChars="200"/>
        <w:jc w:val="both"/>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kern w:val="2"/>
          <w:sz w:val="32"/>
          <w:szCs w:val="32"/>
          <w:lang w:val="en-US" w:eastAsia="zh-CN" w:bidi="ar-SA"/>
        </w:rPr>
        <w:t>二、</w:t>
      </w:r>
      <w:r>
        <w:rPr>
          <w:rFonts w:hint="default" w:ascii="Times New Roman" w:hAnsi="Times New Roman" w:eastAsia="黑体" w:cs="Times New Roman"/>
          <w:color w:val="auto"/>
          <w:spacing w:val="-6"/>
          <w:sz w:val="32"/>
          <w:szCs w:val="32"/>
          <w:lang w:val="en-US" w:eastAsia="zh-CN"/>
        </w:rPr>
        <w:t>主动服务中心大局，促进“检察元素”更多融入“发展元素”</w:t>
      </w:r>
    </w:p>
    <w:p w14:paraId="016DEF8D">
      <w:pPr>
        <w:pStyle w:val="5"/>
        <w:keepNext w:val="0"/>
        <w:keepLines w:val="0"/>
        <w:pageBreakBefore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把握党和国家工作的中心任务与首要任务，充分利用检察法治力量服务中国式现代化，自觉为大局服务、为人民司法、为法治担当。依法严惩严重暴力犯罪、盗抢骗等多发性侵财犯罪，以及人民群众反映强烈的危害食品药品安全、电信网络诈骗、养老诈骗等犯罪，不断增强人民群众安全感。持续推进扫黑除恶常态化，对黑恶势力露头就打，严防死灰复燃。全面准确落实宽严相济刑事政策，严格依法落实认罪认罚从宽制度。依法延伸法律监督职能，促进堵漏建制，以诉源治理促进社会治理。聚焦法治化营商环境建设，依法平等保护各类市场主体产权和合法权益，以检察履职为民营企业发展解难题、办实事。深入践行习近平生态文明思想，持续助力打好蓝天、碧水、净土保卫战。积极参与反腐败斗争，进一步完善监检衔接机制，确保配合有力、制约有效。积极开展“利剑护蕾·雷霆行动”，深化未成年人综合司法保护，促进“六大保护”形成合力，坚持教育、感化、挽救方针，会同有关方面，把“保护、教育、管束”落实到位。加强民生司法保障，通过支持起诉、司法救助等工作，围绕人民群众急难愁盼问题，实质性化解群众合理合法诉求，实实在在解决人民群众操心事、烦心事、揪心事。</w:t>
      </w:r>
    </w:p>
    <w:p w14:paraId="18FC8C92">
      <w:pPr>
        <w:pStyle w:val="5"/>
        <w:keepNext w:val="0"/>
        <w:keepLines w:val="0"/>
        <w:pageBreakBefore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kern w:val="2"/>
          <w:sz w:val="32"/>
          <w:szCs w:val="32"/>
          <w:lang w:val="en-US" w:eastAsia="zh-CN" w:bidi="ar-SA"/>
        </w:rPr>
        <w:t>三、</w:t>
      </w:r>
      <w:r>
        <w:rPr>
          <w:rFonts w:hint="default" w:ascii="Times New Roman" w:hAnsi="Times New Roman" w:eastAsia="黑体" w:cs="Times New Roman"/>
          <w:color w:val="auto"/>
          <w:sz w:val="32"/>
          <w:szCs w:val="32"/>
          <w:lang w:val="en-US" w:eastAsia="zh-CN"/>
        </w:rPr>
        <w:t>大力强化法律监督，推动工作整体质效有新提升</w:t>
      </w:r>
    </w:p>
    <w:p w14:paraId="41BCA61B">
      <w:pPr>
        <w:pStyle w:val="5"/>
        <w:keepNext w:val="0"/>
        <w:keepLines w:val="0"/>
        <w:pageBreakBefore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进一步深化创新能动履职，树立治罪与治理并重的理念，建立健全深化检察工作现代化体系，助力推进国家治理体系和治理能力现代化。进一步构建以证据为核心的刑事指控体系，落实中国特色轻罪治理体系，完善包括检察权运行制约监督在内的刑事诉讼制约监督体系，全面加强对刑事立案、侦查、审判、执行等各个环节的监督，进一步提升刑事监督质效。深入贯彻实施民法典，深化民事诉讼精准监督理念，加强对生效裁判文书、司法调解书以及审判人员、审判活动的监督。加强行政检察工作，统筹推进对生效裁判、审判和执行活动的监督，健全行政执法和刑事司法衔接机制，做实“双向衔接”。加强检察公益诉讼工作，不断提升办案质效。深入推进职务犯罪检察工作，稳步开展直接侦查、机动侦查工作，用准用活自行补充侦查，探索检察侦查与监</w:t>
      </w:r>
      <w:r>
        <w:rPr>
          <w:rFonts w:hint="eastAsia" w:ascii="Times New Roman" w:hAnsi="Times New Roman" w:eastAsia="仿宋_GB2312" w:cs="Times New Roman"/>
          <w:color w:val="auto"/>
          <w:kern w:val="2"/>
          <w:sz w:val="32"/>
          <w:szCs w:val="32"/>
          <w:lang w:val="en-US" w:eastAsia="zh-CN" w:bidi="ar-SA"/>
        </w:rPr>
        <w:t>检</w:t>
      </w:r>
      <w:r>
        <w:rPr>
          <w:rFonts w:hint="default" w:ascii="Times New Roman" w:hAnsi="Times New Roman" w:eastAsia="仿宋_GB2312" w:cs="Times New Roman"/>
          <w:color w:val="auto"/>
          <w:kern w:val="2"/>
          <w:sz w:val="32"/>
          <w:szCs w:val="32"/>
          <w:lang w:val="en-US" w:eastAsia="zh-CN" w:bidi="ar-SA"/>
        </w:rPr>
        <w:t>协作衔接融合机制。落实“业务主导、数据整合、技术支撑、重在应用”的数字检察工作机制，不断开创检察工作现代化新局面。</w:t>
      </w:r>
    </w:p>
    <w:p w14:paraId="345AA5EC">
      <w:pPr>
        <w:pStyle w:val="5"/>
        <w:keepNext w:val="0"/>
        <w:keepLines w:val="0"/>
        <w:pageBreakBefore w:val="0"/>
        <w:numPr>
          <w:ilvl w:val="0"/>
          <w:numId w:val="0"/>
        </w:numPr>
        <w:kinsoku/>
        <w:wordWrap/>
        <w:overflowPunct/>
        <w:topLinePunct w:val="0"/>
        <w:autoSpaceDE/>
        <w:autoSpaceDN/>
        <w:bidi w:val="0"/>
        <w:snapToGrid/>
        <w:spacing w:line="576" w:lineRule="exact"/>
        <w:ind w:firstLine="616" w:firstLineChars="200"/>
        <w:jc w:val="both"/>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kern w:val="2"/>
          <w:sz w:val="32"/>
          <w:szCs w:val="32"/>
          <w:lang w:val="en-US" w:eastAsia="zh-CN" w:bidi="ar-SA"/>
        </w:rPr>
        <w:t>四、</w:t>
      </w:r>
      <w:r>
        <w:rPr>
          <w:rFonts w:hint="default" w:ascii="Times New Roman" w:hAnsi="Times New Roman" w:eastAsia="黑体" w:cs="Times New Roman"/>
          <w:color w:val="auto"/>
          <w:spacing w:val="-6"/>
          <w:sz w:val="32"/>
          <w:szCs w:val="32"/>
          <w:lang w:val="en-US" w:eastAsia="zh-CN"/>
        </w:rPr>
        <w:t>努力提升综合素质，着力培养忠诚干净担当的检察队伍</w:t>
      </w:r>
    </w:p>
    <w:p w14:paraId="1DEA01DB">
      <w:pPr>
        <w:pStyle w:val="5"/>
        <w:keepNext w:val="0"/>
        <w:keepLines w:val="0"/>
        <w:pageBreakBefore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以检察工作理念、体系、机制、能力现代化为重点，深化检察改革，健全依法一体履职、综合履职、能动履职。坚定不移开展政治教育和培训，创新开展党支部活动，深化党建和业务深度融合，持续发挥党员先锋模范作用，确保干警有坚定的政治信仰、坚强的精神支柱。加强检察业务管理，全面准确落实司法责任制，充分运用最新检察业务考核体系，对检察人员进行全员、全面、全时考核，以高水平管理促进高质效办案。把严的总基调长期坚持下去，落实全面从严治党管检责任，完善司法办案廉政风险防控机制，自觉抓实“三个规定”，不让一个检察人员掉队！把业务素能建设放在更加突出位置，加强年轻干部的梯次培养力度，促进检察队伍正规化、专业化、职业化水平迈上新台阶。坚持敢于监督、善于监督，勇于自我监督，把接受监督作为常态自觉，主动接受人大法律监督、政协民主监督、履职制约监督和社会各界监督。                                                                                                                                                                                                                                                                                                                                                                                                                                                                                                                                                                                                                                                                                                                                                                                                                                                                                                                                                                                                                                                                                                                                                                                                                                                                                                                                                                                                                                                                                                                                                                                                                                                                                                                                                                                                                                                                                                                                                                                                                                                                                                                                                                                                                                                                                                     </w:t>
      </w:r>
    </w:p>
    <w:p w14:paraId="5EA82184">
      <w:pPr>
        <w:keepNext w:val="0"/>
        <w:keepLines w:val="0"/>
        <w:pageBreakBefore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仿宋_GB2312" w:cs="Times New Roman"/>
          <w:color w:val="auto"/>
          <w:sz w:val="32"/>
          <w:szCs w:val="32"/>
        </w:rPr>
        <w:sectPr>
          <w:footerReference r:id="rId3" w:type="default"/>
          <w:footerReference r:id="rId4" w:type="even"/>
          <w:pgSz w:w="11906" w:h="16838"/>
          <w:pgMar w:top="2098" w:right="1587" w:bottom="1984" w:left="1587" w:header="851" w:footer="1417" w:gutter="0"/>
          <w:pgNumType w:fmt="numberInDash"/>
          <w:cols w:space="720" w:num="1"/>
          <w:titlePg/>
          <w:rtlGutter w:val="0"/>
          <w:docGrid w:type="lines" w:linePitch="312" w:charSpace="0"/>
        </w:sectPr>
      </w:pPr>
      <w:r>
        <w:rPr>
          <w:rFonts w:hint="default" w:ascii="Times New Roman" w:hAnsi="Times New Roman" w:eastAsia="仿宋_GB2312" w:cs="Times New Roman"/>
          <w:color w:val="auto"/>
          <w:sz w:val="32"/>
          <w:szCs w:val="32"/>
        </w:rPr>
        <w:t>各位代表，</w:t>
      </w:r>
      <w:r>
        <w:rPr>
          <w:rFonts w:hint="default" w:ascii="Times New Roman" w:hAnsi="Times New Roman" w:eastAsia="仿宋_GB2312" w:cs="Times New Roman"/>
          <w:color w:val="auto"/>
          <w:sz w:val="32"/>
          <w:szCs w:val="32"/>
          <w:lang w:eastAsia="zh-CN"/>
        </w:rPr>
        <w:t>所有过往，皆为序章，征途漫漫，唯有奋斗！</w:t>
      </w:r>
      <w:r>
        <w:rPr>
          <w:rFonts w:hint="default" w:ascii="Times New Roman" w:hAnsi="Times New Roman" w:eastAsia="仿宋_GB2312" w:cs="Times New Roman"/>
          <w:color w:val="auto"/>
          <w:sz w:val="32"/>
          <w:szCs w:val="32"/>
        </w:rPr>
        <w:t>县检察院将在县委的坚强领导下，认真贯彻落实本次大会决议，忠诚履行职责，勇担时代使命，励精图治，团结奋进，为助推澧县</w:t>
      </w:r>
      <w:r>
        <w:rPr>
          <w:rFonts w:hint="default" w:ascii="Times New Roman" w:hAnsi="Times New Roman" w:eastAsia="仿宋_GB2312" w:cs="Times New Roman"/>
          <w:color w:val="auto"/>
          <w:sz w:val="32"/>
          <w:szCs w:val="32"/>
          <w:lang w:eastAsia="zh-CN"/>
        </w:rPr>
        <w:t>高质量发展</w:t>
      </w:r>
      <w:r>
        <w:rPr>
          <w:rFonts w:hint="default" w:ascii="Times New Roman" w:hAnsi="Times New Roman" w:eastAsia="仿宋_GB2312" w:cs="Times New Roman"/>
          <w:color w:val="auto"/>
          <w:sz w:val="32"/>
          <w:szCs w:val="32"/>
        </w:rPr>
        <w:t>作出新的更大贡献！</w:t>
      </w:r>
    </w:p>
    <w:p w14:paraId="63ADCED9">
      <w:pPr>
        <w:spacing w:line="560" w:lineRule="exact"/>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附件1</w:t>
      </w:r>
    </w:p>
    <w:p w14:paraId="0740775A">
      <w:pPr>
        <w:pStyle w:val="5"/>
        <w:ind w:firstLine="31680"/>
        <w:rPr>
          <w:rFonts w:hint="default" w:ascii="Times New Roman" w:hAnsi="Times New Roman" w:cs="Times New Roman"/>
          <w:color w:val="auto"/>
        </w:rPr>
      </w:pPr>
    </w:p>
    <w:p w14:paraId="34F8D18F">
      <w:pPr>
        <w:snapToGrid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pacing w:val="40"/>
          <w:sz w:val="44"/>
          <w:szCs w:val="44"/>
        </w:rPr>
        <w:t>有关用语说</w:t>
      </w:r>
      <w:r>
        <w:rPr>
          <w:rFonts w:hint="default" w:ascii="Times New Roman" w:hAnsi="Times New Roman" w:eastAsia="方正小标宋简体" w:cs="Times New Roman"/>
          <w:color w:val="auto"/>
          <w:sz w:val="44"/>
          <w:szCs w:val="44"/>
        </w:rPr>
        <w:t>明</w:t>
      </w:r>
    </w:p>
    <w:p w14:paraId="5402AF30">
      <w:pPr>
        <w:pStyle w:val="4"/>
        <w:spacing w:after="0" w:line="560" w:lineRule="exact"/>
        <w:ind w:firstLine="420" w:firstLineChars="200"/>
        <w:rPr>
          <w:rFonts w:hint="default" w:ascii="Times New Roman" w:hAnsi="Times New Roman" w:cs="Times New Roman"/>
          <w:color w:val="auto"/>
        </w:rPr>
      </w:pPr>
    </w:p>
    <w:p w14:paraId="4474DA6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《中共中央关于加强新时代检察机关法律监督工作的意见》（第</w:t>
      </w: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页第</w:t>
      </w:r>
      <w:r>
        <w:rPr>
          <w:rFonts w:hint="default" w:ascii="Times New Roman" w:hAnsi="Times New Roman" w:eastAsia="仿宋_GB2312" w:cs="Times New Roman"/>
          <w:b/>
          <w:bCs/>
          <w:color w:val="auto"/>
          <w:sz w:val="32"/>
          <w:szCs w:val="32"/>
          <w:lang w:val="en-US" w:eastAsia="zh-CN"/>
        </w:rPr>
        <w:t>13</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2021年6月，党中央印发《中共中央关于加强新时代检察机关法律监督工作的意见》。这是党的历史上首次以“中共中央”名义专门就检察机关法律监督工作印发文件。检察机关要在坚持党的绝对领导的同时，更加注重通过履行法律监督职责保障宪法法律正确有效实施，进而保证党的主张和决策部署一体遵循、有效落实，坚决扛起以法律监督保障党的全面领导的重大政治责任。</w:t>
      </w:r>
    </w:p>
    <w:p w14:paraId="213B7E9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涉案</w:t>
      </w:r>
      <w:r>
        <w:rPr>
          <w:rFonts w:hint="default" w:ascii="Times New Roman" w:hAnsi="Times New Roman" w:eastAsia="仿宋_GB2312" w:cs="Times New Roman"/>
          <w:b/>
          <w:bCs/>
          <w:color w:val="auto"/>
          <w:sz w:val="32"/>
          <w:szCs w:val="32"/>
        </w:rPr>
        <w:t>企业合规改革（第</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页第</w:t>
      </w:r>
      <w:r>
        <w:rPr>
          <w:rFonts w:hint="default" w:ascii="Times New Roman" w:hAnsi="Times New Roman" w:eastAsia="仿宋_GB2312" w:cs="Times New Roman"/>
          <w:b/>
          <w:bCs/>
          <w:color w:val="auto"/>
          <w:sz w:val="32"/>
          <w:szCs w:val="32"/>
          <w:lang w:val="en-US" w:eastAsia="zh-CN"/>
        </w:rPr>
        <w:t>15</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是指检察机关对于办理的涉企刑事案件，在依法做出不批准逮捕、不起诉决定或者根据认罪认罚从宽制度提出轻缓量刑建议等的同时，针对企业涉嫌具体犯罪，结合办案实际，督促涉案企业作出合规承诺并积极整改落实，促进企业合规守法经营，减少和预防企业犯罪，实现司法办案政治效果、法律效果、社会效果的有机统一。</w:t>
      </w:r>
    </w:p>
    <w:p w14:paraId="0753168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利剑护蕾</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行动（第</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页第</w:t>
      </w:r>
      <w:r>
        <w:rPr>
          <w:rFonts w:hint="default"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：旨在提高未成年人防性侵意识和自我保护能力，预防未成年人受到性侵害，减少性侵未成年人违法犯罪的发生。</w:t>
      </w:r>
    </w:p>
    <w:p w14:paraId="068127F7">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“双向保护”司法理念</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页第</w:t>
      </w:r>
      <w:r>
        <w:rPr>
          <w:rFonts w:hint="default" w:ascii="Times New Roman" w:hAnsi="Times New Roman" w:eastAsia="仿宋_GB2312" w:cs="Times New Roman"/>
          <w:b/>
          <w:bCs/>
          <w:color w:val="auto"/>
          <w:sz w:val="32"/>
          <w:szCs w:val="32"/>
          <w:lang w:val="en-US" w:eastAsia="zh-CN"/>
        </w:rPr>
        <w:t>18</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既是未成年人司法应有的理念，也是未成年人检察办案必须遵循的基本规律——既要注重维护涉罪未成年人合法权益，也要切实维护未成年人被害人的权益，维护好社会秩序和公共利益。</w:t>
      </w:r>
    </w:p>
    <w:p w14:paraId="458A4387">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eastAsia="zh-CN"/>
        </w:rPr>
        <w:t>附条件不起诉（第</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页第</w:t>
      </w:r>
      <w:r>
        <w:rPr>
          <w:rFonts w:hint="default" w:ascii="Times New Roman" w:hAnsi="Times New Roman" w:eastAsia="仿宋_GB2312" w:cs="Times New Roman"/>
          <w:b/>
          <w:bCs/>
          <w:color w:val="auto"/>
          <w:sz w:val="32"/>
          <w:szCs w:val="32"/>
          <w:lang w:val="en-US" w:eastAsia="zh-CN"/>
        </w:rPr>
        <w:t>19</w:t>
      </w:r>
      <w:r>
        <w:rPr>
          <w:rFonts w:hint="default" w:ascii="Times New Roman" w:hAnsi="Times New Roman" w:eastAsia="仿宋_GB2312" w:cs="Times New Roman"/>
          <w:b/>
          <w:bCs/>
          <w:color w:val="auto"/>
          <w:sz w:val="32"/>
          <w:szCs w:val="32"/>
          <w:lang w:eastAsia="zh-CN"/>
        </w:rPr>
        <w:t>行）：</w:t>
      </w:r>
      <w:r>
        <w:rPr>
          <w:rFonts w:hint="default" w:ascii="Times New Roman" w:hAnsi="Times New Roman" w:eastAsia="仿宋_GB2312" w:cs="Times New Roman"/>
          <w:color w:val="auto"/>
          <w:kern w:val="2"/>
          <w:sz w:val="32"/>
          <w:szCs w:val="32"/>
          <w:lang w:val="en-US" w:eastAsia="zh-CN" w:bidi="ar-SA"/>
        </w:rPr>
        <w:t>是指对于未成年人涉嫌侵犯公民人身权利、民主权利或侵犯财产、妨碍社会管理秩序犯罪，可能判处一年有期徒刑以下刑罚，符合起诉条件，但有悔罪表现的，检察机关可以做出附条件不起诉决定，并设定六个月以上一年以下的考验期，对其进行监督考察。对考验期内实施新的犯罪、发现漏罪或者严重违反有关规定的，检察机关应当撤销附条件不起诉决定，提起公诉；在考验期内没有上述情形的，考验期满的，应当做出不起诉决定。</w:t>
      </w:r>
    </w:p>
    <w:p w14:paraId="1590E8A9">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督促监护令（第</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页第</w:t>
      </w:r>
      <w:r>
        <w:rPr>
          <w:rFonts w:hint="default" w:ascii="Times New Roman" w:hAnsi="Times New Roman" w:eastAsia="仿宋_GB2312" w:cs="Times New Roman"/>
          <w:b/>
          <w:bCs/>
          <w:color w:val="auto"/>
          <w:sz w:val="32"/>
          <w:szCs w:val="32"/>
          <w:lang w:val="en-US" w:eastAsia="zh-CN"/>
        </w:rPr>
        <w:t>21</w:t>
      </w:r>
      <w:r>
        <w:rPr>
          <w:rFonts w:hint="default" w:ascii="Times New Roman" w:hAnsi="Times New Roman" w:eastAsia="仿宋_GB2312" w:cs="Times New Roman"/>
          <w:b/>
          <w:bCs/>
          <w:color w:val="auto"/>
          <w:sz w:val="32"/>
          <w:szCs w:val="32"/>
          <w:lang w:eastAsia="zh-CN"/>
        </w:rPr>
        <w:t>行）：</w:t>
      </w:r>
      <w:r>
        <w:rPr>
          <w:rFonts w:hint="default" w:ascii="Times New Roman" w:hAnsi="Times New Roman" w:eastAsia="仿宋_GB2312" w:cs="Times New Roman"/>
          <w:b w:val="0"/>
          <w:bCs w:val="0"/>
          <w:color w:val="auto"/>
          <w:sz w:val="32"/>
          <w:szCs w:val="32"/>
          <w:lang w:eastAsia="zh-CN"/>
        </w:rPr>
        <w:t>是指检察机关在办理涉及未成年人案件中，发现监护人存在管教不严、监护缺位等问题，影响未成年人健康成长，导致未成年人违法犯罪或受到侵害时，向监护人发出依法履行监护职责的检察工作文书。</w:t>
      </w:r>
    </w:p>
    <w:p w14:paraId="4EA54325">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强制报告义务（第</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页第</w:t>
      </w:r>
      <w:r>
        <w:rPr>
          <w:rFonts w:hint="default" w:ascii="Times New Roman" w:hAnsi="Times New Roman" w:eastAsia="仿宋_GB2312" w:cs="Times New Roman"/>
          <w:b/>
          <w:bCs/>
          <w:color w:val="auto"/>
          <w:sz w:val="32"/>
          <w:szCs w:val="32"/>
          <w:lang w:val="en-US" w:eastAsia="zh-CN"/>
        </w:rPr>
        <w:t>21</w:t>
      </w:r>
      <w:r>
        <w:rPr>
          <w:rFonts w:hint="default" w:ascii="Times New Roman" w:hAnsi="Times New Roman" w:eastAsia="仿宋_GB2312" w:cs="Times New Roman"/>
          <w:b/>
          <w:bCs/>
          <w:color w:val="auto"/>
          <w:sz w:val="32"/>
          <w:szCs w:val="32"/>
          <w:lang w:eastAsia="zh-CN"/>
        </w:rPr>
        <w:t>行）：</w:t>
      </w:r>
      <w:r>
        <w:rPr>
          <w:rFonts w:hint="default" w:ascii="Times New Roman" w:hAnsi="Times New Roman" w:eastAsia="仿宋_GB2312" w:cs="Times New Roman"/>
          <w:b w:val="0"/>
          <w:bCs w:val="0"/>
          <w:color w:val="auto"/>
          <w:sz w:val="32"/>
          <w:szCs w:val="32"/>
          <w:lang w:eastAsia="zh-CN"/>
        </w:rPr>
        <w:t>是指国家机关、居民委员会、村民委员会、密切接触未成年人的单位及其工作人员，在工作中发现未成年人身心健康受到侵害、疑似受到侵害或者面临其他危险情形的，应当立即向公安、民政、教育等有关部门报告，未履行报告职责的，依法承担相应的法律责任。</w:t>
      </w:r>
    </w:p>
    <w:p w14:paraId="3F852DE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检爱计划（第</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2021年9月28日，湖南省检察院第十检察部与湖南省馨心公益助学促进中心联手打造的“检爱计划”项目正式启动。项目服务对象是全省各级检察机关在办理司法救助案件中发现的因遭受犯罪侵害或民事侵权，无法通过诉讼获得有效赔偿，导致生活陷入困境，面临辍学或失学可能的学龄孩子，在检察机关进行司法救助之后，由馨心公益继续对其进行社会公益助学。</w:t>
      </w:r>
    </w:p>
    <w:p w14:paraId="21F3E3C1">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eastAsia="zh-CN"/>
        </w:rPr>
        <w:t>宽严相济刑事政策</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lang w:eastAsia="zh-CN"/>
        </w:rPr>
        <w:t>是我国在</w:t>
      </w:r>
      <w:r>
        <w:rPr>
          <w:rFonts w:hint="default" w:ascii="Times New Roman" w:hAnsi="Times New Roman" w:eastAsia="仿宋_GB2312" w:cs="Times New Roman"/>
          <w:b w:val="0"/>
          <w:bCs w:val="0"/>
          <w:color w:val="auto"/>
          <w:sz w:val="32"/>
          <w:szCs w:val="32"/>
          <w:lang w:val="en-US" w:eastAsia="zh-CN"/>
        </w:rPr>
        <w:t>2006年确立的基本刑事政策。宽严相济中的“严”，就是要毫不动摇地坚持“严打”方针，集中力量依法严厉打击严重刑事犯罪，“宽”就是要坚持区别对待，应依法从宽的就要依法从宽处理。“济”主要是指在对各类犯罪依法处罚时，要善于综合运用宽和严两种手段，对不同的犯罪和犯罪分子区别对待，做到宽中有严、严以济宽。</w:t>
      </w:r>
    </w:p>
    <w:p w14:paraId="691BD93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认罪认罚从宽制度（第</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页第</w:t>
      </w: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是指犯罪嫌疑人、被告人自愿如实供述自己的罪行，承认指控的犯罪事实，愿意接受处罚的，可以依法从宽处理的一项诉讼制度。该项制度对于依法及时惩治犯罪、强化人权保障、优化司法资源配置、推动繁简分流、提升诉讼质量效率、完善多层次刑事诉讼程序体系等方面具有重要作用。</w:t>
      </w:r>
    </w:p>
    <w:p w14:paraId="48A81F3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“四个最严”要求</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20</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b w:val="0"/>
          <w:bCs w:val="0"/>
          <w:color w:val="auto"/>
          <w:sz w:val="32"/>
          <w:szCs w:val="32"/>
          <w:lang w:eastAsia="zh-CN"/>
        </w:rPr>
        <w:t>是指最严谨的标准、最严格的监管、最严厉的处罚、最严肃的问责。这四项要求是为了保障食品和农产品的质量安全，加大食品安全违法行为的刑事责任、行政处罚和民事责任，从而更好地保护人民的饮食健康。</w:t>
      </w:r>
    </w:p>
    <w:p w14:paraId="6D5B45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行政违法行为监督</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b w:val="0"/>
          <w:bCs w:val="0"/>
          <w:color w:val="auto"/>
          <w:sz w:val="32"/>
          <w:szCs w:val="32"/>
          <w:lang w:eastAsia="zh-CN"/>
        </w:rPr>
        <w:t>《中共中央关于加强新时代检察机关法律监督工作的意见》要求，检察机关“在履行法律监督职责中发现行政机关违法行使职权或者不行使职权的，可以依照法律规定制发检察建议等督促整改”。《中共中央关于全面推进依法治国若干重大问题的决定》指出，“人民检察院在履行职责中发现行政机关违法行使职权或者不行使职权的行为，应该督促纠正”。</w:t>
      </w:r>
    </w:p>
    <w:p w14:paraId="200B77A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行政争议实质性化解</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color w:val="auto"/>
          <w:sz w:val="32"/>
          <w:szCs w:val="32"/>
        </w:rPr>
        <w:t>是检察机关针对一些行政诉讼案件不符合起诉条件被驳回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讼争问题未解决、案虽结事难了等情形而开展的专项监督，通过促进和解、督促纠正违法、给予司法救助等方式，使行政机关在行政管理活动中与行政相对人及利害关系人之间产生的争议得到实质性处理，当事人不再申请启动新的法律程序，从而实现案结事了政和的效果。</w:t>
      </w:r>
    </w:p>
    <w:p w14:paraId="5FF0E3DC">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行刑衔接</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b w:val="0"/>
          <w:bCs w:val="0"/>
          <w:color w:val="auto"/>
          <w:sz w:val="32"/>
          <w:szCs w:val="32"/>
          <w:lang w:eastAsia="zh-CN"/>
        </w:rPr>
        <w:t>又叫“两法衔接”，是“行政执法和刑事司法相衔接”的简称，指的是检察机关会同行政执法机关、公安机关、行政监察机关实行的旨在防止以罚代刑、有罪不究、降格处理的现象发生，及时将行政执法中查办的涉嫌犯罪的案件移送司法机关处理的工作机制。</w:t>
      </w:r>
    </w:p>
    <w:p w14:paraId="101E3F95">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检察侦查</w:t>
      </w: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b w:val="0"/>
          <w:bCs w:val="0"/>
          <w:color w:val="auto"/>
          <w:sz w:val="32"/>
          <w:szCs w:val="32"/>
          <w:lang w:eastAsia="zh-CN"/>
        </w:rPr>
        <w:t>是包括自行补充侦查、机动侦查和直接侦办司法人员相关职务犯罪三个方面的内容。刑事诉讼法规定：“对于公安机关管辖的国家机关工作人员利用职权实施的重大犯罪案件，需要由人民检察院直接受理的时候，经省级以上人民检察院决定，可以由人民检察院立案侦查”。理论和实务界将法律这一授权称为检察机关的“机动侦查权”。</w:t>
      </w:r>
    </w:p>
    <w:p w14:paraId="1F73BB64">
      <w:pPr>
        <w:pStyle w:val="5"/>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color w:val="auto"/>
        </w:rPr>
      </w:pPr>
      <w:r>
        <w:rPr>
          <w:rFonts w:hint="default" w:ascii="Times New Roman" w:hAnsi="Times New Roman" w:eastAsia="仿宋_GB2312" w:cs="Times New Roman"/>
          <w:b/>
          <w:bCs/>
          <w:color w:val="auto"/>
          <w:kern w:val="2"/>
          <w:sz w:val="32"/>
          <w:szCs w:val="32"/>
          <w:shd w:val="clear" w:color="auto" w:fill="auto"/>
          <w:lang w:val="en-US" w:eastAsia="zh-CN" w:bidi="ar-SA"/>
        </w:rPr>
        <w:t>三个规定</w:t>
      </w: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页第</w:t>
      </w:r>
      <w:r>
        <w:rPr>
          <w:rFonts w:hint="eastAsia"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行）：</w:t>
      </w:r>
      <w:r>
        <w:rPr>
          <w:rFonts w:hint="default" w:ascii="Times New Roman" w:hAnsi="Times New Roman" w:eastAsia="仿宋_GB2312" w:cs="Times New Roman"/>
          <w:b w:val="0"/>
          <w:bCs w:val="0"/>
          <w:color w:val="auto"/>
          <w:sz w:val="32"/>
          <w:szCs w:val="32"/>
          <w:lang w:eastAsia="zh-CN"/>
        </w:rPr>
        <w:t>是指中共中央办公厅、国务院办公厅印发的《领导干部干预司法活动、插手具体案件处理的记录、通报和责任追究规定》；中央政法委印发的《司法机关内部人员过问案件的记录和责任追究规定》；最高人民法院、最高人民检察院、公安部、国家安全部、司法部印发的《关于进一步规范司法人员与当事人、律师、特殊关系人、中介组织接触交往行为的若干规定》。</w:t>
      </w:r>
    </w:p>
    <w:p w14:paraId="1497F7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auto"/>
          <w:sz w:val="32"/>
          <w:szCs w:val="32"/>
        </w:rPr>
        <w:sectPr>
          <w:footerReference r:id="rId5" w:type="default"/>
          <w:pgSz w:w="11906" w:h="16838"/>
          <w:pgMar w:top="2098" w:right="1588" w:bottom="1985" w:left="1588" w:header="851" w:footer="1418" w:gutter="0"/>
          <w:pgNumType w:fmt="numberInDash"/>
          <w:cols w:space="720" w:num="1"/>
          <w:docGrid w:type="lines" w:linePitch="312" w:charSpace="0"/>
        </w:sectPr>
      </w:pPr>
      <w:r>
        <w:rPr>
          <w:rFonts w:hint="default" w:ascii="Times New Roman" w:hAnsi="Times New Roman" w:eastAsia="仿宋_GB2312" w:cs="Times New Roman"/>
          <w:b/>
          <w:bCs/>
          <w:color w:val="auto"/>
          <w:sz w:val="32"/>
          <w:szCs w:val="32"/>
        </w:rPr>
        <w:t>全文数据说明</w:t>
      </w:r>
      <w:r>
        <w:rPr>
          <w:rFonts w:hint="default" w:ascii="Times New Roman" w:hAnsi="Times New Roman" w:eastAsia="仿宋_GB2312" w:cs="Times New Roman"/>
          <w:color w:val="auto"/>
          <w:sz w:val="32"/>
          <w:szCs w:val="32"/>
        </w:rPr>
        <w:t>：本报告业务数据和案例的统计时间为202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年1月1日至202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年12月31日。</w:t>
      </w:r>
    </w:p>
    <w:p w14:paraId="1EFAD9F3">
      <w:pPr>
        <w:snapToGrid w:val="0"/>
        <w:spacing w:line="560" w:lineRule="exac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附件2</w:t>
      </w:r>
    </w:p>
    <w:p w14:paraId="06C0534B">
      <w:pPr>
        <w:pStyle w:val="5"/>
        <w:ind w:firstLine="31680"/>
        <w:rPr>
          <w:rFonts w:hint="default" w:ascii="Times New Roman" w:hAnsi="Times New Roman" w:cs="Times New Roman"/>
          <w:color w:val="auto"/>
        </w:rPr>
      </w:pPr>
    </w:p>
    <w:p w14:paraId="1066E473">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jc w:val="center"/>
        <w:textAlignment w:val="auto"/>
        <w:rPr>
          <w:rFonts w:hint="eastAsia" w:ascii="方正小标宋_GBK" w:hAnsi="方正小标宋_GBK" w:eastAsia="方正小标宋_GBK" w:cs="方正小标宋_GBK"/>
          <w:color w:val="auto"/>
          <w:spacing w:val="-16"/>
          <w:sz w:val="44"/>
          <w:szCs w:val="44"/>
        </w:rPr>
      </w:pPr>
      <w:r>
        <w:rPr>
          <w:rFonts w:hint="eastAsia" w:ascii="方正小标宋_GBK" w:hAnsi="方正小标宋_GBK" w:eastAsia="方正小标宋_GBK" w:cs="方正小标宋_GBK"/>
          <w:color w:val="auto"/>
          <w:spacing w:val="-16"/>
          <w:sz w:val="44"/>
          <w:szCs w:val="44"/>
        </w:rPr>
        <w:t>202</w:t>
      </w:r>
      <w:r>
        <w:rPr>
          <w:rFonts w:hint="eastAsia" w:ascii="方正小标宋_GBK" w:hAnsi="方正小标宋_GBK" w:eastAsia="方正小标宋_GBK" w:cs="方正小标宋_GBK"/>
          <w:color w:val="auto"/>
          <w:spacing w:val="-16"/>
          <w:sz w:val="44"/>
          <w:szCs w:val="44"/>
          <w:lang w:val="en-US" w:eastAsia="zh-CN"/>
        </w:rPr>
        <w:t>3</w:t>
      </w:r>
      <w:r>
        <w:rPr>
          <w:rFonts w:hint="eastAsia" w:ascii="方正小标宋_GBK" w:hAnsi="方正小标宋_GBK" w:eastAsia="方正小标宋_GBK" w:cs="方正小标宋_GBK"/>
          <w:color w:val="auto"/>
          <w:spacing w:val="-16"/>
          <w:sz w:val="44"/>
          <w:szCs w:val="44"/>
        </w:rPr>
        <w:t>年度澧县检察院获得的市级以上典型荣誉</w:t>
      </w:r>
    </w:p>
    <w:tbl>
      <w:tblPr>
        <w:tblStyle w:val="9"/>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87"/>
        <w:gridCol w:w="1299"/>
        <w:gridCol w:w="4540"/>
        <w:gridCol w:w="2386"/>
      </w:tblGrid>
      <w:tr w14:paraId="7C121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6" w:hRule="atLeast"/>
          <w:tblHeader/>
          <w:jc w:val="center"/>
        </w:trPr>
        <w:tc>
          <w:tcPr>
            <w:tcW w:w="687" w:type="dxa"/>
            <w:tcBorders>
              <w:top w:val="single" w:color="auto" w:sz="8" w:space="0"/>
            </w:tcBorders>
            <w:noWrap w:val="0"/>
            <w:vAlign w:val="center"/>
          </w:tcPr>
          <w:p w14:paraId="774A25C2">
            <w:pPr>
              <w:jc w:val="center"/>
              <w:rPr>
                <w:rFonts w:hint="default" w:ascii="Times New Roman" w:hAnsi="Times New Roman" w:eastAsia="黑体" w:cs="Times New Roman"/>
                <w:color w:val="auto"/>
                <w:spacing w:val="0"/>
                <w:w w:val="100"/>
                <w:kern w:val="0"/>
              </w:rPr>
            </w:pPr>
            <w:r>
              <w:rPr>
                <w:rFonts w:hint="default" w:ascii="Times New Roman" w:hAnsi="Times New Roman" w:eastAsia="黑体" w:cs="Times New Roman"/>
                <w:color w:val="auto"/>
                <w:spacing w:val="0"/>
                <w:w w:val="100"/>
                <w:kern w:val="0"/>
              </w:rPr>
              <w:t>序号</w:t>
            </w:r>
          </w:p>
        </w:tc>
        <w:tc>
          <w:tcPr>
            <w:tcW w:w="1299" w:type="dxa"/>
            <w:tcBorders>
              <w:top w:val="single" w:color="auto" w:sz="8" w:space="0"/>
            </w:tcBorders>
            <w:noWrap w:val="0"/>
            <w:vAlign w:val="center"/>
          </w:tcPr>
          <w:p w14:paraId="7FB1F197">
            <w:pPr>
              <w:jc w:val="center"/>
              <w:rPr>
                <w:rFonts w:hint="default" w:ascii="Times New Roman" w:hAnsi="Times New Roman" w:eastAsia="黑体" w:cs="Times New Roman"/>
                <w:color w:val="auto"/>
                <w:spacing w:val="0"/>
                <w:w w:val="100"/>
                <w:kern w:val="0"/>
                <w:lang w:eastAsia="zh-CN"/>
              </w:rPr>
            </w:pPr>
            <w:r>
              <w:rPr>
                <w:rFonts w:hint="default" w:ascii="Times New Roman" w:hAnsi="Times New Roman" w:eastAsia="黑体" w:cs="Times New Roman"/>
                <w:color w:val="auto"/>
                <w:spacing w:val="0"/>
                <w:w w:val="100"/>
                <w:kern w:val="0"/>
                <w:lang w:eastAsia="zh-CN"/>
              </w:rPr>
              <w:t>被表彰单位</w:t>
            </w:r>
          </w:p>
          <w:p w14:paraId="0DD64EB2">
            <w:pPr>
              <w:jc w:val="center"/>
              <w:rPr>
                <w:rFonts w:hint="default" w:ascii="Times New Roman" w:hAnsi="Times New Roman" w:eastAsia="黑体" w:cs="Times New Roman"/>
                <w:color w:val="auto"/>
                <w:spacing w:val="0"/>
                <w:w w:val="100"/>
                <w:kern w:val="0"/>
              </w:rPr>
            </w:pPr>
            <w:r>
              <w:rPr>
                <w:rFonts w:hint="default" w:ascii="Times New Roman" w:hAnsi="Times New Roman" w:eastAsia="黑体" w:cs="Times New Roman"/>
                <w:color w:val="auto"/>
                <w:spacing w:val="0"/>
                <w:w w:val="100"/>
                <w:kern w:val="0"/>
                <w:lang w:eastAsia="zh-CN"/>
              </w:rPr>
              <w:t>或</w:t>
            </w:r>
            <w:r>
              <w:rPr>
                <w:rFonts w:hint="default" w:ascii="Times New Roman" w:hAnsi="Times New Roman" w:eastAsia="黑体" w:cs="Times New Roman"/>
                <w:color w:val="auto"/>
                <w:spacing w:val="0"/>
                <w:w w:val="100"/>
                <w:kern w:val="0"/>
              </w:rPr>
              <w:t>个人</w:t>
            </w:r>
          </w:p>
        </w:tc>
        <w:tc>
          <w:tcPr>
            <w:tcW w:w="4540" w:type="dxa"/>
            <w:tcBorders>
              <w:top w:val="single" w:color="auto" w:sz="8" w:space="0"/>
            </w:tcBorders>
            <w:noWrap w:val="0"/>
            <w:vAlign w:val="center"/>
          </w:tcPr>
          <w:p w14:paraId="1B9B5184">
            <w:pPr>
              <w:jc w:val="center"/>
              <w:rPr>
                <w:rFonts w:hint="default" w:ascii="Times New Roman" w:hAnsi="Times New Roman" w:eastAsia="黑体" w:cs="Times New Roman"/>
                <w:color w:val="auto"/>
                <w:spacing w:val="0"/>
                <w:w w:val="100"/>
                <w:kern w:val="0"/>
              </w:rPr>
            </w:pPr>
            <w:r>
              <w:rPr>
                <w:rFonts w:hint="default" w:ascii="Times New Roman" w:hAnsi="Times New Roman" w:eastAsia="黑体" w:cs="Times New Roman"/>
                <w:color w:val="auto"/>
                <w:spacing w:val="0"/>
                <w:w w:val="100"/>
                <w:kern w:val="0"/>
              </w:rPr>
              <w:t>荣誉称号</w:t>
            </w:r>
          </w:p>
        </w:tc>
        <w:tc>
          <w:tcPr>
            <w:tcW w:w="2386" w:type="dxa"/>
            <w:tcBorders>
              <w:top w:val="single" w:color="auto" w:sz="8" w:space="0"/>
            </w:tcBorders>
            <w:noWrap w:val="0"/>
            <w:vAlign w:val="center"/>
          </w:tcPr>
          <w:p w14:paraId="12BA00A9">
            <w:pPr>
              <w:jc w:val="center"/>
              <w:rPr>
                <w:rFonts w:hint="default" w:ascii="Times New Roman" w:hAnsi="Times New Roman" w:eastAsia="黑体" w:cs="Times New Roman"/>
                <w:color w:val="auto"/>
                <w:spacing w:val="0"/>
                <w:w w:val="100"/>
                <w:kern w:val="0"/>
              </w:rPr>
            </w:pPr>
            <w:r>
              <w:rPr>
                <w:rFonts w:hint="default" w:ascii="Times New Roman" w:hAnsi="Times New Roman" w:eastAsia="黑体" w:cs="Times New Roman"/>
                <w:color w:val="auto"/>
                <w:spacing w:val="0"/>
                <w:w w:val="100"/>
                <w:kern w:val="0"/>
              </w:rPr>
              <w:t>授予部门</w:t>
            </w:r>
          </w:p>
        </w:tc>
      </w:tr>
      <w:tr w14:paraId="1125B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76" w:hRule="exact"/>
          <w:jc w:val="center"/>
        </w:trPr>
        <w:tc>
          <w:tcPr>
            <w:tcW w:w="687" w:type="dxa"/>
            <w:tcBorders>
              <w:top w:val="single" w:color="auto" w:sz="8" w:space="0"/>
            </w:tcBorders>
            <w:noWrap w:val="0"/>
            <w:vAlign w:val="center"/>
          </w:tcPr>
          <w:p w14:paraId="3D42C0E8">
            <w:pPr>
              <w:jc w:val="center"/>
              <w:rPr>
                <w:rFonts w:hint="default" w:ascii="Times New Roman" w:hAnsi="Times New Roman" w:eastAsia="黑体" w:cs="Times New Roman"/>
                <w:color w:val="auto"/>
                <w:spacing w:val="0"/>
                <w:w w:val="100"/>
                <w:kern w:val="0"/>
                <w:sz w:val="21"/>
                <w:szCs w:val="21"/>
                <w:lang w:val="en-US" w:eastAsia="zh-CN" w:bidi="ar-SA"/>
              </w:rPr>
            </w:pPr>
            <w:r>
              <w:rPr>
                <w:rFonts w:hint="default" w:ascii="Times New Roman" w:hAnsi="Times New Roman" w:eastAsia="黑体" w:cs="Times New Roman"/>
                <w:color w:val="auto"/>
                <w:spacing w:val="0"/>
                <w:w w:val="100"/>
                <w:kern w:val="0"/>
                <w:lang w:val="en-US" w:eastAsia="zh-CN"/>
              </w:rPr>
              <w:t>1</w:t>
            </w:r>
          </w:p>
        </w:tc>
        <w:tc>
          <w:tcPr>
            <w:tcW w:w="1299" w:type="dxa"/>
            <w:tcBorders>
              <w:top w:val="single" w:color="auto" w:sz="8" w:space="0"/>
            </w:tcBorders>
            <w:noWrap w:val="0"/>
            <w:vAlign w:val="center"/>
          </w:tcPr>
          <w:p w14:paraId="198C905A">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w:t>
            </w:r>
          </w:p>
          <w:p w14:paraId="397273C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检察院</w:t>
            </w:r>
          </w:p>
        </w:tc>
        <w:tc>
          <w:tcPr>
            <w:tcW w:w="4540" w:type="dxa"/>
            <w:tcBorders>
              <w:top w:val="single" w:color="auto" w:sz="8" w:space="0"/>
            </w:tcBorders>
            <w:noWrap w:val="0"/>
            <w:vAlign w:val="center"/>
          </w:tcPr>
          <w:p w14:paraId="7DA35047">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《法治在心中》绘画作品获评最高检察院第二届“未成年法治手绘画廊”征集活动</w:t>
            </w:r>
          </w:p>
          <w:p w14:paraId="57BE0FE6">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三等奖</w:t>
            </w:r>
          </w:p>
        </w:tc>
        <w:tc>
          <w:tcPr>
            <w:tcW w:w="2386" w:type="dxa"/>
            <w:tcBorders>
              <w:top w:val="single" w:color="auto" w:sz="8" w:space="0"/>
            </w:tcBorders>
            <w:noWrap w:val="0"/>
            <w:vAlign w:val="center"/>
          </w:tcPr>
          <w:p w14:paraId="152631D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最高人民检察院</w:t>
            </w:r>
          </w:p>
        </w:tc>
      </w:tr>
      <w:tr w14:paraId="7EB53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96" w:hRule="exact"/>
          <w:jc w:val="center"/>
        </w:trPr>
        <w:tc>
          <w:tcPr>
            <w:tcW w:w="687" w:type="dxa"/>
            <w:tcBorders>
              <w:top w:val="single" w:color="auto" w:sz="8" w:space="0"/>
            </w:tcBorders>
            <w:noWrap w:val="0"/>
            <w:vAlign w:val="center"/>
          </w:tcPr>
          <w:p w14:paraId="2B02C80C">
            <w:pPr>
              <w:jc w:val="center"/>
              <w:rPr>
                <w:rFonts w:hint="default" w:ascii="Times New Roman" w:hAnsi="Times New Roman" w:eastAsia="黑体" w:cs="Times New Roman"/>
                <w:color w:val="auto"/>
                <w:spacing w:val="0"/>
                <w:w w:val="100"/>
                <w:kern w:val="0"/>
                <w:sz w:val="21"/>
                <w:szCs w:val="21"/>
                <w:lang w:val="en-US" w:eastAsia="zh-CN" w:bidi="ar-SA"/>
              </w:rPr>
            </w:pPr>
            <w:r>
              <w:rPr>
                <w:rFonts w:hint="default" w:ascii="Times New Roman" w:hAnsi="Times New Roman" w:eastAsia="黑体" w:cs="Times New Roman"/>
                <w:color w:val="auto"/>
                <w:spacing w:val="0"/>
                <w:w w:val="100"/>
                <w:kern w:val="0"/>
                <w:lang w:val="en-US" w:eastAsia="zh-CN"/>
              </w:rPr>
              <w:t>2</w:t>
            </w:r>
          </w:p>
        </w:tc>
        <w:tc>
          <w:tcPr>
            <w:tcW w:w="1299" w:type="dxa"/>
            <w:tcBorders>
              <w:top w:val="single" w:color="auto" w:sz="8" w:space="0"/>
            </w:tcBorders>
            <w:noWrap w:val="0"/>
            <w:vAlign w:val="center"/>
          </w:tcPr>
          <w:p w14:paraId="45674674">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w:t>
            </w:r>
          </w:p>
          <w:p w14:paraId="304ECC7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检察院</w:t>
            </w:r>
          </w:p>
        </w:tc>
        <w:tc>
          <w:tcPr>
            <w:tcW w:w="4540" w:type="dxa"/>
            <w:tcBorders>
              <w:top w:val="single" w:color="auto" w:sz="8" w:space="0"/>
            </w:tcBorders>
            <w:noWrap w:val="0"/>
            <w:vAlign w:val="center"/>
          </w:tcPr>
          <w:p w14:paraId="01A41475">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《油脂加工厂变身记》视频故事获评湖南省第一届检察公益诉讼故事汇“优秀故事”</w:t>
            </w:r>
          </w:p>
        </w:tc>
        <w:tc>
          <w:tcPr>
            <w:tcW w:w="2386" w:type="dxa"/>
            <w:tcBorders>
              <w:top w:val="single" w:color="auto" w:sz="8" w:space="0"/>
            </w:tcBorders>
            <w:noWrap w:val="0"/>
            <w:vAlign w:val="center"/>
          </w:tcPr>
          <w:p w14:paraId="0204FEAE">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湖南省人民检察院</w:t>
            </w:r>
          </w:p>
        </w:tc>
      </w:tr>
      <w:tr w14:paraId="48D677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13" w:hRule="exact"/>
          <w:jc w:val="center"/>
        </w:trPr>
        <w:tc>
          <w:tcPr>
            <w:tcW w:w="687" w:type="dxa"/>
            <w:tcBorders>
              <w:top w:val="single" w:color="auto" w:sz="8" w:space="0"/>
            </w:tcBorders>
            <w:noWrap w:val="0"/>
            <w:vAlign w:val="center"/>
          </w:tcPr>
          <w:p w14:paraId="310C130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3</w:t>
            </w:r>
          </w:p>
        </w:tc>
        <w:tc>
          <w:tcPr>
            <w:tcW w:w="1299" w:type="dxa"/>
            <w:tcBorders>
              <w:top w:val="single" w:color="auto" w:sz="8" w:space="0"/>
            </w:tcBorders>
            <w:noWrap w:val="0"/>
            <w:vAlign w:val="center"/>
          </w:tcPr>
          <w:p w14:paraId="3FD064A7">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w:t>
            </w:r>
          </w:p>
          <w:p w14:paraId="066C9392">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检察院</w:t>
            </w:r>
          </w:p>
        </w:tc>
        <w:tc>
          <w:tcPr>
            <w:tcW w:w="4540" w:type="dxa"/>
            <w:tcBorders>
              <w:top w:val="single" w:color="auto" w:sz="8" w:space="0"/>
            </w:tcBorders>
            <w:noWrap w:val="0"/>
            <w:vAlign w:val="center"/>
          </w:tcPr>
          <w:p w14:paraId="6D262DF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督促整治油脂原料恶臭污染行政公益诉讼案获评全省检察机关生态环境司法保护</w:t>
            </w:r>
          </w:p>
          <w:p w14:paraId="51967D3C">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典型案例</w:t>
            </w:r>
          </w:p>
        </w:tc>
        <w:tc>
          <w:tcPr>
            <w:tcW w:w="2386" w:type="dxa"/>
            <w:tcBorders>
              <w:top w:val="single" w:color="auto" w:sz="8" w:space="0"/>
            </w:tcBorders>
            <w:noWrap w:val="0"/>
            <w:vAlign w:val="center"/>
          </w:tcPr>
          <w:p w14:paraId="3AF76EB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湖南省人民检察院</w:t>
            </w:r>
          </w:p>
        </w:tc>
      </w:tr>
      <w:tr w14:paraId="5B78D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5" w:hRule="exact"/>
          <w:jc w:val="center"/>
        </w:trPr>
        <w:tc>
          <w:tcPr>
            <w:tcW w:w="687" w:type="dxa"/>
            <w:noWrap w:val="0"/>
            <w:vAlign w:val="center"/>
          </w:tcPr>
          <w:p w14:paraId="6220F334">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4</w:t>
            </w:r>
          </w:p>
        </w:tc>
        <w:tc>
          <w:tcPr>
            <w:tcW w:w="1299" w:type="dxa"/>
            <w:noWrap w:val="0"/>
            <w:vAlign w:val="center"/>
          </w:tcPr>
          <w:p w14:paraId="0E51528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w:t>
            </w:r>
          </w:p>
          <w:p w14:paraId="0838EAF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检察院</w:t>
            </w:r>
          </w:p>
        </w:tc>
        <w:tc>
          <w:tcPr>
            <w:tcW w:w="4540" w:type="dxa"/>
            <w:noWrap w:val="0"/>
            <w:vAlign w:val="center"/>
          </w:tcPr>
          <w:p w14:paraId="6B4C496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黄某某强奸、猥亵儿童案获评全省未检</w:t>
            </w:r>
          </w:p>
          <w:p w14:paraId="4E7B1E78">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综合履职典型案例</w:t>
            </w:r>
          </w:p>
        </w:tc>
        <w:tc>
          <w:tcPr>
            <w:tcW w:w="2386" w:type="dxa"/>
            <w:noWrap w:val="0"/>
            <w:vAlign w:val="center"/>
          </w:tcPr>
          <w:p w14:paraId="375CAC8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湖南省人民检察院</w:t>
            </w:r>
          </w:p>
        </w:tc>
      </w:tr>
      <w:tr w14:paraId="409F2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6" w:hRule="atLeast"/>
          <w:jc w:val="center"/>
        </w:trPr>
        <w:tc>
          <w:tcPr>
            <w:tcW w:w="687" w:type="dxa"/>
            <w:noWrap w:val="0"/>
            <w:vAlign w:val="center"/>
          </w:tcPr>
          <w:p w14:paraId="0599F2E7">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5</w:t>
            </w:r>
          </w:p>
        </w:tc>
        <w:tc>
          <w:tcPr>
            <w:tcW w:w="1299" w:type="dxa"/>
            <w:noWrap w:val="0"/>
            <w:vAlign w:val="center"/>
          </w:tcPr>
          <w:p w14:paraId="71E5382F">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w:t>
            </w:r>
          </w:p>
          <w:p w14:paraId="0FEA4F42">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检察院</w:t>
            </w:r>
          </w:p>
        </w:tc>
        <w:tc>
          <w:tcPr>
            <w:tcW w:w="4540" w:type="dxa"/>
            <w:noWrap w:val="0"/>
            <w:vAlign w:val="center"/>
          </w:tcPr>
          <w:p w14:paraId="0749199B">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张某某行贿案获评全省行贿犯罪典型案例</w:t>
            </w:r>
          </w:p>
        </w:tc>
        <w:tc>
          <w:tcPr>
            <w:tcW w:w="2386" w:type="dxa"/>
            <w:noWrap w:val="0"/>
            <w:vAlign w:val="center"/>
          </w:tcPr>
          <w:p w14:paraId="676269F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湖南省监察委员会</w:t>
            </w:r>
          </w:p>
          <w:p w14:paraId="1BE1814C">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湖南省人民检察院</w:t>
            </w:r>
          </w:p>
        </w:tc>
      </w:tr>
      <w:tr w14:paraId="145F8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6" w:hRule="exact"/>
          <w:jc w:val="center"/>
        </w:trPr>
        <w:tc>
          <w:tcPr>
            <w:tcW w:w="687" w:type="dxa"/>
            <w:noWrap w:val="0"/>
            <w:vAlign w:val="center"/>
          </w:tcPr>
          <w:p w14:paraId="269E17CB">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6</w:t>
            </w:r>
          </w:p>
        </w:tc>
        <w:tc>
          <w:tcPr>
            <w:tcW w:w="1299" w:type="dxa"/>
            <w:noWrap w:val="0"/>
            <w:vAlign w:val="center"/>
          </w:tcPr>
          <w:p w14:paraId="3EBE550A">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袁其帅</w:t>
            </w:r>
          </w:p>
        </w:tc>
        <w:tc>
          <w:tcPr>
            <w:tcW w:w="4540" w:type="dxa"/>
            <w:noWrap w:val="0"/>
            <w:vAlign w:val="center"/>
          </w:tcPr>
          <w:p w14:paraId="503D5EA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《检察五行说》在湖南省政法系统第32届书画诗词摄影展中荣获诗词类优秀奖</w:t>
            </w:r>
          </w:p>
        </w:tc>
        <w:tc>
          <w:tcPr>
            <w:tcW w:w="2386" w:type="dxa"/>
            <w:noWrap w:val="0"/>
            <w:vAlign w:val="center"/>
          </w:tcPr>
          <w:p w14:paraId="79B398A6">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湖南省政法系统书画</w:t>
            </w:r>
          </w:p>
          <w:p w14:paraId="625748DE">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诗词研究会</w:t>
            </w:r>
          </w:p>
        </w:tc>
      </w:tr>
      <w:tr w14:paraId="6164F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66" w:hRule="exact"/>
          <w:jc w:val="center"/>
        </w:trPr>
        <w:tc>
          <w:tcPr>
            <w:tcW w:w="687" w:type="dxa"/>
            <w:noWrap w:val="0"/>
            <w:vAlign w:val="center"/>
          </w:tcPr>
          <w:p w14:paraId="2E68B7A5">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7</w:t>
            </w:r>
          </w:p>
        </w:tc>
        <w:tc>
          <w:tcPr>
            <w:tcW w:w="1299" w:type="dxa"/>
            <w:noWrap w:val="0"/>
            <w:vAlign w:val="center"/>
          </w:tcPr>
          <w:p w14:paraId="390A787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澧县人民检察院</w:t>
            </w:r>
          </w:p>
        </w:tc>
        <w:tc>
          <w:tcPr>
            <w:tcW w:w="4540" w:type="dxa"/>
            <w:noWrap w:val="0"/>
            <w:vAlign w:val="center"/>
          </w:tcPr>
          <w:p w14:paraId="52BA5EBB">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澧县自然资源局对何某某擅自改变土地</w:t>
            </w:r>
          </w:p>
          <w:p w14:paraId="0CC5283C">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用途不依法履职行政公益诉讼案获评全市优秀案件</w:t>
            </w:r>
          </w:p>
        </w:tc>
        <w:tc>
          <w:tcPr>
            <w:tcW w:w="2386" w:type="dxa"/>
            <w:noWrap w:val="0"/>
            <w:vAlign w:val="center"/>
          </w:tcPr>
          <w:p w14:paraId="111E221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46CA4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6" w:hRule="exact"/>
          <w:jc w:val="center"/>
        </w:trPr>
        <w:tc>
          <w:tcPr>
            <w:tcW w:w="687" w:type="dxa"/>
            <w:noWrap w:val="0"/>
            <w:vAlign w:val="center"/>
          </w:tcPr>
          <w:p w14:paraId="50E94DA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8</w:t>
            </w:r>
          </w:p>
        </w:tc>
        <w:tc>
          <w:tcPr>
            <w:tcW w:w="1299" w:type="dxa"/>
            <w:noWrap w:val="0"/>
            <w:vAlign w:val="center"/>
          </w:tcPr>
          <w:p w14:paraId="7B18067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澧县人民检察院</w:t>
            </w:r>
          </w:p>
        </w:tc>
        <w:tc>
          <w:tcPr>
            <w:tcW w:w="4540" w:type="dxa"/>
            <w:noWrap w:val="0"/>
            <w:vAlign w:val="center"/>
          </w:tcPr>
          <w:p w14:paraId="28C600A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全市检察机关2022年度刑事检察优秀案件：张某某行贿案、陈某某介绍卖淫案</w:t>
            </w:r>
          </w:p>
        </w:tc>
        <w:tc>
          <w:tcPr>
            <w:tcW w:w="2386" w:type="dxa"/>
            <w:noWrap w:val="0"/>
            <w:vAlign w:val="center"/>
          </w:tcPr>
          <w:p w14:paraId="24AEDD45">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277E3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6" w:hRule="exact"/>
          <w:jc w:val="center"/>
        </w:trPr>
        <w:tc>
          <w:tcPr>
            <w:tcW w:w="687" w:type="dxa"/>
            <w:noWrap w:val="0"/>
            <w:vAlign w:val="center"/>
          </w:tcPr>
          <w:p w14:paraId="63600024">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9</w:t>
            </w:r>
          </w:p>
        </w:tc>
        <w:tc>
          <w:tcPr>
            <w:tcW w:w="1299" w:type="dxa"/>
            <w:noWrap w:val="0"/>
            <w:vAlign w:val="center"/>
          </w:tcPr>
          <w:p w14:paraId="4B1C3BD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澧县人民检察院</w:t>
            </w:r>
          </w:p>
        </w:tc>
        <w:tc>
          <w:tcPr>
            <w:tcW w:w="4540" w:type="dxa"/>
            <w:noWrap w:val="0"/>
            <w:vAlign w:val="center"/>
          </w:tcPr>
          <w:p w14:paraId="1BEC3D95">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甘某某追索抚养费纠纷支持起诉案获评</w:t>
            </w:r>
          </w:p>
          <w:p w14:paraId="553B58F2">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全市民事行政检察优秀案件</w:t>
            </w:r>
          </w:p>
        </w:tc>
        <w:tc>
          <w:tcPr>
            <w:tcW w:w="2386" w:type="dxa"/>
            <w:noWrap w:val="0"/>
            <w:vAlign w:val="center"/>
          </w:tcPr>
          <w:p w14:paraId="0D4A1C7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64929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28" w:hRule="exact"/>
          <w:jc w:val="center"/>
        </w:trPr>
        <w:tc>
          <w:tcPr>
            <w:tcW w:w="687" w:type="dxa"/>
            <w:noWrap w:val="0"/>
            <w:vAlign w:val="center"/>
          </w:tcPr>
          <w:p w14:paraId="05B63BA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10</w:t>
            </w:r>
          </w:p>
        </w:tc>
        <w:tc>
          <w:tcPr>
            <w:tcW w:w="1299" w:type="dxa"/>
            <w:noWrap w:val="0"/>
            <w:vAlign w:val="center"/>
          </w:tcPr>
          <w:p w14:paraId="59AA6CE4">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澧县人民检察院鲁俭明办案团队</w:t>
            </w:r>
          </w:p>
        </w:tc>
        <w:tc>
          <w:tcPr>
            <w:tcW w:w="4540" w:type="dxa"/>
            <w:noWrap w:val="0"/>
            <w:vAlign w:val="center"/>
          </w:tcPr>
          <w:p w14:paraId="0616F970">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2022年度全市检察机关刑事执行检察优秀案件、优秀法律文书、优秀办案团队</w:t>
            </w:r>
          </w:p>
        </w:tc>
        <w:tc>
          <w:tcPr>
            <w:tcW w:w="2386" w:type="dxa"/>
            <w:noWrap w:val="0"/>
            <w:vAlign w:val="center"/>
          </w:tcPr>
          <w:p w14:paraId="4856649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21CF23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51" w:hRule="exact"/>
          <w:jc w:val="center"/>
        </w:trPr>
        <w:tc>
          <w:tcPr>
            <w:tcW w:w="687" w:type="dxa"/>
            <w:noWrap w:val="0"/>
            <w:vAlign w:val="center"/>
          </w:tcPr>
          <w:p w14:paraId="1B606DAE">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11</w:t>
            </w:r>
          </w:p>
        </w:tc>
        <w:tc>
          <w:tcPr>
            <w:tcW w:w="1299" w:type="dxa"/>
            <w:noWrap w:val="0"/>
            <w:vAlign w:val="center"/>
          </w:tcPr>
          <w:p w14:paraId="2AF2672E">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澧县人民检察院</w:t>
            </w:r>
          </w:p>
        </w:tc>
        <w:tc>
          <w:tcPr>
            <w:tcW w:w="4540" w:type="dxa"/>
            <w:noWrap w:val="0"/>
            <w:vAlign w:val="center"/>
          </w:tcPr>
          <w:p w14:paraId="730CAB4C">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全市检察机关学习贯彻习近平新时代中国特色社会主义思想暨清廉检察知识竞赛</w:t>
            </w:r>
          </w:p>
          <w:p w14:paraId="07DB8C8E">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二等奖</w:t>
            </w:r>
          </w:p>
        </w:tc>
        <w:tc>
          <w:tcPr>
            <w:tcW w:w="2386" w:type="dxa"/>
            <w:noWrap w:val="0"/>
            <w:vAlign w:val="center"/>
          </w:tcPr>
          <w:p w14:paraId="226E146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0E3F9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613" w:hRule="exact"/>
          <w:jc w:val="center"/>
        </w:trPr>
        <w:tc>
          <w:tcPr>
            <w:tcW w:w="687" w:type="dxa"/>
            <w:noWrap w:val="0"/>
            <w:vAlign w:val="center"/>
          </w:tcPr>
          <w:p w14:paraId="34355A33">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12</w:t>
            </w:r>
          </w:p>
        </w:tc>
        <w:tc>
          <w:tcPr>
            <w:tcW w:w="1299" w:type="dxa"/>
            <w:noWrap w:val="0"/>
            <w:vAlign w:val="center"/>
          </w:tcPr>
          <w:p w14:paraId="32580D4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澧县人民检察院政治部（法警大队）</w:t>
            </w:r>
          </w:p>
        </w:tc>
        <w:tc>
          <w:tcPr>
            <w:tcW w:w="4540" w:type="dxa"/>
            <w:noWrap w:val="0"/>
            <w:vAlign w:val="center"/>
          </w:tcPr>
          <w:p w14:paraId="129B8C2E">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全市检察机关司法警察训练考核工作</w:t>
            </w:r>
          </w:p>
          <w:p w14:paraId="007BB832">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先进集体</w:t>
            </w:r>
          </w:p>
        </w:tc>
        <w:tc>
          <w:tcPr>
            <w:tcW w:w="2386" w:type="dxa"/>
            <w:noWrap w:val="0"/>
            <w:vAlign w:val="center"/>
          </w:tcPr>
          <w:p w14:paraId="6C5F11B4">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p w14:paraId="7ED0F876">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政治部</w:t>
            </w:r>
          </w:p>
        </w:tc>
      </w:tr>
      <w:tr w14:paraId="4E7CB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6" w:hRule="atLeast"/>
          <w:jc w:val="center"/>
        </w:trPr>
        <w:tc>
          <w:tcPr>
            <w:tcW w:w="687" w:type="dxa"/>
            <w:noWrap w:val="0"/>
            <w:vAlign w:val="center"/>
          </w:tcPr>
          <w:p w14:paraId="03DB2CD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13</w:t>
            </w:r>
          </w:p>
        </w:tc>
        <w:tc>
          <w:tcPr>
            <w:tcW w:w="1299" w:type="dxa"/>
            <w:noWrap w:val="0"/>
            <w:vAlign w:val="center"/>
          </w:tcPr>
          <w:p w14:paraId="504539BB">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李  航</w:t>
            </w:r>
          </w:p>
        </w:tc>
        <w:tc>
          <w:tcPr>
            <w:tcW w:w="4540" w:type="dxa"/>
            <w:noWrap w:val="0"/>
            <w:vAlign w:val="center"/>
          </w:tcPr>
          <w:p w14:paraId="00958CE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全市检察机关演讲比赛优胜奖</w:t>
            </w:r>
          </w:p>
        </w:tc>
        <w:tc>
          <w:tcPr>
            <w:tcW w:w="2386" w:type="dxa"/>
            <w:noWrap w:val="0"/>
            <w:vAlign w:val="center"/>
          </w:tcPr>
          <w:p w14:paraId="31013A82">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2C9C2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6" w:hRule="atLeast"/>
          <w:jc w:val="center"/>
        </w:trPr>
        <w:tc>
          <w:tcPr>
            <w:tcW w:w="687" w:type="dxa"/>
            <w:noWrap w:val="0"/>
            <w:vAlign w:val="center"/>
          </w:tcPr>
          <w:p w14:paraId="76952CA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14</w:t>
            </w:r>
          </w:p>
        </w:tc>
        <w:tc>
          <w:tcPr>
            <w:tcW w:w="1299" w:type="dxa"/>
            <w:noWrap w:val="0"/>
            <w:vAlign w:val="center"/>
          </w:tcPr>
          <w:p w14:paraId="1109CEF6">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周心怡</w:t>
            </w:r>
          </w:p>
        </w:tc>
        <w:tc>
          <w:tcPr>
            <w:tcW w:w="4540" w:type="dxa"/>
            <w:noWrap w:val="0"/>
            <w:vAlign w:val="center"/>
          </w:tcPr>
          <w:p w14:paraId="72D42597">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全市检察机关演讲比赛二等奖</w:t>
            </w:r>
          </w:p>
        </w:tc>
        <w:tc>
          <w:tcPr>
            <w:tcW w:w="2386" w:type="dxa"/>
            <w:noWrap w:val="0"/>
            <w:vAlign w:val="center"/>
          </w:tcPr>
          <w:p w14:paraId="3C498A8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tc>
      </w:tr>
      <w:tr w14:paraId="45158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6" w:hRule="atLeast"/>
          <w:jc w:val="center"/>
        </w:trPr>
        <w:tc>
          <w:tcPr>
            <w:tcW w:w="687" w:type="dxa"/>
            <w:noWrap w:val="0"/>
            <w:vAlign w:val="center"/>
          </w:tcPr>
          <w:p w14:paraId="5208FAF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15</w:t>
            </w:r>
          </w:p>
        </w:tc>
        <w:tc>
          <w:tcPr>
            <w:tcW w:w="1299" w:type="dxa"/>
            <w:noWrap w:val="0"/>
            <w:vAlign w:val="center"/>
          </w:tcPr>
          <w:p w14:paraId="1DFF496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袁其帅</w:t>
            </w:r>
          </w:p>
        </w:tc>
        <w:tc>
          <w:tcPr>
            <w:tcW w:w="4540" w:type="dxa"/>
            <w:noWrap w:val="0"/>
            <w:vAlign w:val="center"/>
          </w:tcPr>
          <w:p w14:paraId="3016D2AA">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2022年度常德市优秀共青团干部</w:t>
            </w:r>
          </w:p>
        </w:tc>
        <w:tc>
          <w:tcPr>
            <w:tcW w:w="2386" w:type="dxa"/>
            <w:noWrap w:val="0"/>
            <w:vAlign w:val="center"/>
          </w:tcPr>
          <w:p w14:paraId="5E6FF27D">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共青团常德市委</w:t>
            </w:r>
          </w:p>
        </w:tc>
      </w:tr>
      <w:tr w14:paraId="2E24E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6" w:hRule="atLeast"/>
          <w:jc w:val="center"/>
        </w:trPr>
        <w:tc>
          <w:tcPr>
            <w:tcW w:w="687" w:type="dxa"/>
            <w:noWrap w:val="0"/>
            <w:vAlign w:val="center"/>
          </w:tcPr>
          <w:p w14:paraId="6921B03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16</w:t>
            </w:r>
          </w:p>
        </w:tc>
        <w:tc>
          <w:tcPr>
            <w:tcW w:w="1299" w:type="dxa"/>
            <w:noWrap w:val="0"/>
            <w:vAlign w:val="center"/>
          </w:tcPr>
          <w:p w14:paraId="6E25A2C2">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赵复平</w:t>
            </w:r>
          </w:p>
        </w:tc>
        <w:tc>
          <w:tcPr>
            <w:tcW w:w="4540" w:type="dxa"/>
            <w:noWrap w:val="0"/>
            <w:vAlign w:val="center"/>
          </w:tcPr>
          <w:p w14:paraId="42AB6289">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全市检察机关司法警察训练考核工作</w:t>
            </w:r>
          </w:p>
          <w:p w14:paraId="796BA496">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优秀个人</w:t>
            </w:r>
          </w:p>
        </w:tc>
        <w:tc>
          <w:tcPr>
            <w:tcW w:w="2386" w:type="dxa"/>
            <w:noWrap w:val="0"/>
            <w:vAlign w:val="center"/>
          </w:tcPr>
          <w:p w14:paraId="29033494">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常德市人民检察院</w:t>
            </w:r>
          </w:p>
          <w:p w14:paraId="42E75BC1">
            <w:pPr>
              <w:keepNext w:val="0"/>
              <w:keepLines w:val="0"/>
              <w:widowControl/>
              <w:suppressLineNumbers w:val="0"/>
              <w:jc w:val="center"/>
              <w:textAlignment w:val="center"/>
              <w:rPr>
                <w:rFonts w:hint="default" w:ascii="Times New Roman" w:hAnsi="Times New Roman" w:eastAsia="仿宋_GB2312" w:cs="Times New Roman"/>
                <w:i w:val="0"/>
                <w:color w:val="auto"/>
                <w:spacing w:val="0"/>
                <w:w w:val="100"/>
                <w:kern w:val="0"/>
                <w:sz w:val="24"/>
                <w:szCs w:val="24"/>
                <w:u w:val="none"/>
                <w:lang w:val="en-US" w:eastAsia="zh-CN" w:bidi="ar"/>
              </w:rPr>
            </w:pPr>
            <w:r>
              <w:rPr>
                <w:rFonts w:hint="default" w:ascii="Times New Roman" w:hAnsi="Times New Roman" w:eastAsia="仿宋_GB2312" w:cs="Times New Roman"/>
                <w:i w:val="0"/>
                <w:color w:val="auto"/>
                <w:spacing w:val="0"/>
                <w:w w:val="100"/>
                <w:kern w:val="0"/>
                <w:sz w:val="24"/>
                <w:szCs w:val="24"/>
                <w:u w:val="none"/>
                <w:lang w:val="en-US" w:eastAsia="zh-CN" w:bidi="ar"/>
              </w:rPr>
              <w:t>政治部</w:t>
            </w:r>
          </w:p>
        </w:tc>
      </w:tr>
    </w:tbl>
    <w:p w14:paraId="468857B9">
      <w:pPr>
        <w:pStyle w:val="5"/>
        <w:ind w:firstLine="31680"/>
        <w:rPr>
          <w:rFonts w:hint="default" w:ascii="Times New Roman" w:hAnsi="Times New Roman" w:eastAsia="黑体" w:cs="Times New Roman"/>
          <w:color w:val="auto"/>
          <w:sz w:val="44"/>
          <w:szCs w:val="44"/>
        </w:rPr>
      </w:pPr>
    </w:p>
    <w:p w14:paraId="59E4871F">
      <w:pPr>
        <w:rPr>
          <w:rFonts w:hint="default" w:ascii="Times New Roman" w:hAnsi="Times New Roman" w:cs="Times New Roman"/>
          <w:color w:val="auto"/>
        </w:rPr>
      </w:pPr>
    </w:p>
    <w:p w14:paraId="7A9F3568">
      <w:pPr>
        <w:pStyle w:val="2"/>
        <w:ind w:left="0" w:leftChars="0" w:firstLine="0" w:firstLineChars="0"/>
        <w:rPr>
          <w:rFonts w:hint="default" w:ascii="Times New Roman" w:hAnsi="Times New Roman" w:cs="Times New Roman"/>
          <w:color w:val="auto"/>
          <w:lang w:val="en-US" w:eastAsia="zh-CN"/>
        </w:rPr>
        <w:sectPr>
          <w:pgSz w:w="11906" w:h="16838"/>
          <w:pgMar w:top="1440" w:right="1800" w:bottom="1440" w:left="1800" w:header="851" w:footer="1134" w:gutter="0"/>
          <w:pgNumType w:fmt="numberInDash"/>
          <w:cols w:space="720" w:num="1"/>
          <w:rtlGutter w:val="0"/>
          <w:docGrid w:type="lines" w:linePitch="312" w:charSpace="0"/>
        </w:sectPr>
      </w:pPr>
    </w:p>
    <w:p w14:paraId="4DB6AADC">
      <w:pPr>
        <w:pStyle w:val="2"/>
        <w:spacing w:line="600" w:lineRule="exact"/>
        <w:ind w:firstLine="0" w:firstLineChars="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附件3</w:t>
      </w:r>
    </w:p>
    <w:p w14:paraId="673E7F76">
      <w:pPr>
        <w:pStyle w:val="2"/>
        <w:spacing w:line="600" w:lineRule="exact"/>
        <w:ind w:firstLine="0" w:firstLineChars="0"/>
        <w:rPr>
          <w:rFonts w:hint="default" w:ascii="Times New Roman" w:hAnsi="Times New Roman" w:eastAsia="黑体" w:cs="Times New Roman"/>
          <w:color w:val="auto"/>
          <w:sz w:val="32"/>
          <w:szCs w:val="32"/>
        </w:rPr>
      </w:pPr>
    </w:p>
    <w:p w14:paraId="2AD5EEDF">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澧县人民检察院</w:t>
      </w:r>
    </w:p>
    <w:p w14:paraId="4A23CB4F">
      <w:pPr>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官方微信公众平台、微博二维码名片</w:t>
      </w:r>
    </w:p>
    <w:p w14:paraId="21797F70">
      <w:pPr>
        <w:jc w:val="center"/>
        <w:rPr>
          <w:rFonts w:hint="default" w:ascii="Times New Roman" w:hAnsi="Times New Roman" w:eastAsia="黑体" w:cs="Times New Roman"/>
          <w:color w:val="auto"/>
        </w:rPr>
      </w:pPr>
    </w:p>
    <w:p w14:paraId="7D8718FC">
      <w:pPr>
        <w:pStyle w:val="2"/>
        <w:rPr>
          <w:rFonts w:hint="default" w:ascii="Times New Roman" w:hAnsi="Times New Roman" w:cs="Times New Roman"/>
          <w:color w:val="auto"/>
        </w:rPr>
      </w:pPr>
    </w:p>
    <w:p w14:paraId="6E2B10EA">
      <w:pPr>
        <w:jc w:val="center"/>
        <w:rPr>
          <w:rFonts w:hint="default" w:ascii="Times New Roman" w:hAnsi="Times New Roman" w:eastAsia="黑体" w:cs="Times New Roman"/>
          <w:color w:val="auto"/>
        </w:rPr>
      </w:pPr>
      <w:r>
        <w:rPr>
          <w:rFonts w:hint="default" w:ascii="Times New Roman" w:hAnsi="Times New Roman" w:eastAsia="黑体" w:cs="Times New Roman"/>
          <w:color w:val="auto"/>
        </w:rPr>
        <w:drawing>
          <wp:inline distT="0" distB="0" distL="114300" distR="114300">
            <wp:extent cx="1724025" cy="17240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724025" cy="1724025"/>
                    </a:xfrm>
                    <a:prstGeom prst="rect">
                      <a:avLst/>
                    </a:prstGeom>
                    <a:noFill/>
                    <a:ln>
                      <a:noFill/>
                    </a:ln>
                  </pic:spPr>
                </pic:pic>
              </a:graphicData>
            </a:graphic>
          </wp:inline>
        </w:drawing>
      </w:r>
    </w:p>
    <w:p w14:paraId="21F810F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澧县人民检察院官方微信公众平台</w:t>
      </w:r>
    </w:p>
    <w:p w14:paraId="07FFD207">
      <w:pPr>
        <w:jc w:val="center"/>
        <w:rPr>
          <w:rFonts w:hint="default" w:ascii="Times New Roman" w:hAnsi="Times New Roman" w:eastAsia="仿宋" w:cs="Times New Roman"/>
          <w:color w:val="auto"/>
        </w:rPr>
      </w:pPr>
    </w:p>
    <w:p w14:paraId="204CB3A6">
      <w:pPr>
        <w:pStyle w:val="2"/>
        <w:rPr>
          <w:rFonts w:hint="default" w:ascii="Times New Roman" w:hAnsi="Times New Roman" w:cs="Times New Roman"/>
          <w:color w:val="auto"/>
        </w:rPr>
      </w:pPr>
    </w:p>
    <w:p w14:paraId="271732AA">
      <w:pPr>
        <w:jc w:val="center"/>
        <w:rPr>
          <w:rFonts w:hint="default" w:ascii="Times New Roman" w:hAnsi="Times New Roman" w:eastAsia="仿宋" w:cs="Times New Roman"/>
          <w:color w:val="auto"/>
        </w:rPr>
      </w:pPr>
      <w:r>
        <w:rPr>
          <w:rFonts w:hint="default" w:ascii="Times New Roman" w:hAnsi="Times New Roman" w:eastAsia="仿宋" w:cs="Times New Roman"/>
          <w:color w:val="auto"/>
        </w:rPr>
        <w:drawing>
          <wp:inline distT="0" distB="0" distL="114300" distR="114300">
            <wp:extent cx="1714500" cy="17145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714500" cy="1714500"/>
                    </a:xfrm>
                    <a:prstGeom prst="rect">
                      <a:avLst/>
                    </a:prstGeom>
                    <a:noFill/>
                    <a:ln>
                      <a:noFill/>
                    </a:ln>
                  </pic:spPr>
                </pic:pic>
              </a:graphicData>
            </a:graphic>
          </wp:inline>
        </w:drawing>
      </w:r>
    </w:p>
    <w:p w14:paraId="04C1488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澧县人民检察院官方微博</w:t>
      </w:r>
    </w:p>
    <w:p w14:paraId="3B1D4438">
      <w:pPr>
        <w:pStyle w:val="13"/>
        <w:spacing w:after="0" w:line="384" w:lineRule="exact"/>
        <w:ind w:firstLine="0" w:firstLineChars="0"/>
        <w:rPr>
          <w:rFonts w:hint="default" w:ascii="Times New Roman" w:hAnsi="Times New Roman" w:cs="Times New Roman"/>
          <w:color w:val="auto"/>
        </w:rPr>
      </w:pPr>
    </w:p>
    <w:p w14:paraId="697489E9">
      <w:pPr>
        <w:pStyle w:val="13"/>
        <w:spacing w:after="0" w:line="384" w:lineRule="exact"/>
        <w:ind w:firstLine="0" w:firstLineChars="0"/>
        <w:rPr>
          <w:rFonts w:hint="default" w:ascii="Times New Roman" w:hAnsi="Times New Roman" w:cs="Times New Roman"/>
          <w:color w:val="auto"/>
        </w:rPr>
      </w:pPr>
      <w:r>
        <w:rPr>
          <w:rFonts w:hint="default" w:ascii="Times New Roman" w:hAnsi="Times New Roman" w:cs="Times New Roman"/>
          <w:color w:val="auto"/>
        </w:rPr>
        <w:br w:type="page"/>
      </w:r>
    </w:p>
    <w:p w14:paraId="57662026">
      <w:pPr>
        <w:pStyle w:val="13"/>
        <w:spacing w:after="0" w:line="384" w:lineRule="exact"/>
        <w:ind w:firstLine="0" w:firstLineChars="0"/>
        <w:rPr>
          <w:rFonts w:hint="default" w:ascii="Times New Roman" w:hAnsi="Times New Roman" w:cs="Times New Roman"/>
          <w:color w:val="auto"/>
        </w:rPr>
      </w:pPr>
    </w:p>
    <w:p w14:paraId="550747F0">
      <w:pPr>
        <w:pStyle w:val="13"/>
        <w:spacing w:after="0" w:line="384" w:lineRule="exact"/>
        <w:ind w:firstLine="0" w:firstLineChars="0"/>
        <w:rPr>
          <w:rFonts w:hint="default" w:ascii="Times New Roman" w:hAnsi="Times New Roman" w:cs="Times New Roman"/>
          <w:color w:val="auto"/>
        </w:rPr>
      </w:pPr>
    </w:p>
    <w:p w14:paraId="2DC66563">
      <w:pPr>
        <w:pStyle w:val="13"/>
        <w:spacing w:after="0" w:line="384" w:lineRule="exact"/>
        <w:ind w:firstLine="0" w:firstLineChars="0"/>
        <w:rPr>
          <w:rFonts w:hint="default" w:ascii="Times New Roman" w:hAnsi="Times New Roman" w:cs="Times New Roman"/>
          <w:color w:val="auto"/>
        </w:rPr>
      </w:pPr>
    </w:p>
    <w:p w14:paraId="38DB3D98">
      <w:pPr>
        <w:pStyle w:val="13"/>
        <w:spacing w:after="0" w:line="384" w:lineRule="exact"/>
        <w:ind w:firstLine="0" w:firstLineChars="0"/>
        <w:rPr>
          <w:rFonts w:hint="default" w:ascii="Times New Roman" w:hAnsi="Times New Roman" w:cs="Times New Roman"/>
          <w:color w:val="auto"/>
        </w:rPr>
      </w:pPr>
    </w:p>
    <w:p w14:paraId="56545462">
      <w:pPr>
        <w:pStyle w:val="13"/>
        <w:spacing w:after="0" w:line="384" w:lineRule="exact"/>
        <w:ind w:firstLine="0" w:firstLineChars="0"/>
        <w:rPr>
          <w:rFonts w:hint="default" w:ascii="Times New Roman" w:hAnsi="Times New Roman" w:cs="Times New Roman"/>
          <w:color w:val="auto"/>
        </w:rPr>
      </w:pPr>
    </w:p>
    <w:p w14:paraId="2326F235">
      <w:pPr>
        <w:pStyle w:val="13"/>
        <w:spacing w:after="0" w:line="384" w:lineRule="exact"/>
        <w:ind w:firstLine="0" w:firstLineChars="0"/>
        <w:rPr>
          <w:rFonts w:hint="default" w:ascii="Times New Roman" w:hAnsi="Times New Roman" w:cs="Times New Roman"/>
          <w:color w:val="auto"/>
        </w:rPr>
      </w:pPr>
    </w:p>
    <w:p w14:paraId="14BCF0B0">
      <w:pPr>
        <w:pStyle w:val="13"/>
        <w:spacing w:after="0" w:line="384" w:lineRule="exact"/>
        <w:ind w:firstLine="0" w:firstLineChars="0"/>
        <w:rPr>
          <w:rFonts w:hint="default" w:ascii="Times New Roman" w:hAnsi="Times New Roman" w:cs="Times New Roman"/>
          <w:color w:val="auto"/>
        </w:rPr>
      </w:pPr>
    </w:p>
    <w:p w14:paraId="2BF7AE18">
      <w:pPr>
        <w:pStyle w:val="13"/>
        <w:spacing w:after="0" w:line="384" w:lineRule="exact"/>
        <w:ind w:firstLine="0" w:firstLineChars="0"/>
        <w:rPr>
          <w:rFonts w:hint="default" w:ascii="Times New Roman" w:hAnsi="Times New Roman" w:cs="Times New Roman"/>
          <w:color w:val="auto"/>
        </w:rPr>
      </w:pPr>
    </w:p>
    <w:p w14:paraId="6269E13E">
      <w:pPr>
        <w:pStyle w:val="13"/>
        <w:spacing w:after="0" w:line="384" w:lineRule="exact"/>
        <w:ind w:firstLine="0" w:firstLineChars="0"/>
        <w:rPr>
          <w:rFonts w:hint="default" w:ascii="Times New Roman" w:hAnsi="Times New Roman" w:cs="Times New Roman"/>
          <w:color w:val="auto"/>
        </w:rPr>
      </w:pPr>
    </w:p>
    <w:p w14:paraId="0CE2592F">
      <w:pPr>
        <w:pStyle w:val="13"/>
        <w:spacing w:after="0" w:line="384" w:lineRule="exact"/>
        <w:ind w:firstLine="0" w:firstLineChars="0"/>
        <w:rPr>
          <w:rFonts w:hint="default" w:ascii="Times New Roman" w:hAnsi="Times New Roman" w:cs="Times New Roman"/>
          <w:color w:val="auto"/>
        </w:rPr>
      </w:pPr>
    </w:p>
    <w:p w14:paraId="3385A6C4">
      <w:pPr>
        <w:pStyle w:val="13"/>
        <w:spacing w:after="0" w:line="384" w:lineRule="exact"/>
        <w:ind w:firstLine="0" w:firstLineChars="0"/>
        <w:rPr>
          <w:rFonts w:hint="default" w:ascii="Times New Roman" w:hAnsi="Times New Roman" w:cs="Times New Roman"/>
          <w:color w:val="auto"/>
        </w:rPr>
      </w:pPr>
    </w:p>
    <w:p w14:paraId="0D63DB64">
      <w:pPr>
        <w:pStyle w:val="13"/>
        <w:spacing w:after="0" w:line="384" w:lineRule="exact"/>
        <w:ind w:firstLine="0" w:firstLineChars="0"/>
        <w:rPr>
          <w:rFonts w:hint="default" w:ascii="Times New Roman" w:hAnsi="Times New Roman" w:cs="Times New Roman"/>
          <w:color w:val="auto"/>
        </w:rPr>
      </w:pPr>
    </w:p>
    <w:p w14:paraId="28EB6645">
      <w:pPr>
        <w:pStyle w:val="13"/>
        <w:spacing w:after="0" w:line="384" w:lineRule="exact"/>
        <w:ind w:firstLine="0" w:firstLineChars="0"/>
        <w:rPr>
          <w:rFonts w:hint="default" w:ascii="Times New Roman" w:hAnsi="Times New Roman" w:cs="Times New Roman"/>
          <w:color w:val="auto"/>
        </w:rPr>
      </w:pPr>
    </w:p>
    <w:p w14:paraId="1D68C0AE">
      <w:pPr>
        <w:pStyle w:val="13"/>
        <w:spacing w:after="0" w:line="384" w:lineRule="exact"/>
        <w:ind w:firstLine="0" w:firstLineChars="0"/>
        <w:rPr>
          <w:rFonts w:hint="default" w:ascii="Times New Roman" w:hAnsi="Times New Roman" w:cs="Times New Roman"/>
          <w:color w:val="auto"/>
        </w:rPr>
      </w:pPr>
    </w:p>
    <w:p w14:paraId="4469C8E4">
      <w:pPr>
        <w:pStyle w:val="13"/>
        <w:spacing w:after="0" w:line="384" w:lineRule="exact"/>
        <w:ind w:firstLine="0" w:firstLineChars="0"/>
        <w:rPr>
          <w:rFonts w:hint="default" w:ascii="Times New Roman" w:hAnsi="Times New Roman" w:cs="Times New Roman"/>
          <w:color w:val="auto"/>
        </w:rPr>
      </w:pPr>
    </w:p>
    <w:p w14:paraId="5CDA4594">
      <w:pPr>
        <w:pStyle w:val="13"/>
        <w:spacing w:after="0" w:line="384" w:lineRule="exact"/>
        <w:ind w:firstLine="0" w:firstLineChars="0"/>
        <w:rPr>
          <w:rFonts w:hint="default" w:ascii="Times New Roman" w:hAnsi="Times New Roman" w:cs="Times New Roman"/>
          <w:color w:val="auto"/>
        </w:rPr>
      </w:pPr>
    </w:p>
    <w:p w14:paraId="71D691DF">
      <w:pPr>
        <w:pStyle w:val="13"/>
        <w:spacing w:after="0" w:line="384" w:lineRule="exact"/>
        <w:ind w:firstLine="0" w:firstLineChars="0"/>
        <w:rPr>
          <w:rFonts w:hint="default" w:ascii="Times New Roman" w:hAnsi="Times New Roman" w:cs="Times New Roman"/>
          <w:color w:val="auto"/>
        </w:rPr>
      </w:pPr>
    </w:p>
    <w:p w14:paraId="6BB09A9C">
      <w:pPr>
        <w:pStyle w:val="13"/>
        <w:spacing w:after="0" w:line="384" w:lineRule="exact"/>
        <w:ind w:firstLine="0" w:firstLineChars="0"/>
        <w:rPr>
          <w:rFonts w:hint="default" w:ascii="Times New Roman" w:hAnsi="Times New Roman" w:cs="Times New Roman"/>
          <w:color w:val="auto"/>
        </w:rPr>
      </w:pPr>
    </w:p>
    <w:p w14:paraId="66F8E76A">
      <w:pPr>
        <w:pStyle w:val="13"/>
        <w:spacing w:after="0" w:line="384" w:lineRule="exact"/>
        <w:ind w:firstLine="0" w:firstLineChars="0"/>
        <w:rPr>
          <w:rFonts w:hint="default" w:ascii="Times New Roman" w:hAnsi="Times New Roman" w:cs="Times New Roman"/>
          <w:color w:val="auto"/>
        </w:rPr>
      </w:pPr>
    </w:p>
    <w:p w14:paraId="4801509E">
      <w:pPr>
        <w:pStyle w:val="13"/>
        <w:spacing w:after="0" w:line="384" w:lineRule="exact"/>
        <w:ind w:firstLine="0" w:firstLineChars="0"/>
        <w:rPr>
          <w:rFonts w:hint="default" w:ascii="Times New Roman" w:hAnsi="Times New Roman" w:cs="Times New Roman"/>
          <w:color w:val="auto"/>
        </w:rPr>
      </w:pPr>
    </w:p>
    <w:p w14:paraId="7A16AD6D">
      <w:pPr>
        <w:pStyle w:val="13"/>
        <w:spacing w:after="0" w:line="384" w:lineRule="exact"/>
        <w:ind w:firstLine="0" w:firstLineChars="0"/>
        <w:rPr>
          <w:rFonts w:hint="default" w:ascii="Times New Roman" w:hAnsi="Times New Roman" w:cs="Times New Roman"/>
          <w:color w:val="auto"/>
        </w:rPr>
      </w:pPr>
    </w:p>
    <w:p w14:paraId="3BBD9105">
      <w:pPr>
        <w:pStyle w:val="13"/>
        <w:spacing w:after="0" w:line="384" w:lineRule="exact"/>
        <w:ind w:firstLine="0" w:firstLineChars="0"/>
        <w:rPr>
          <w:rFonts w:hint="default" w:ascii="Times New Roman" w:hAnsi="Times New Roman" w:cs="Times New Roman"/>
          <w:color w:val="auto"/>
        </w:rPr>
      </w:pPr>
    </w:p>
    <w:p w14:paraId="252D8E01">
      <w:pPr>
        <w:pStyle w:val="13"/>
        <w:spacing w:after="0" w:line="384" w:lineRule="exact"/>
        <w:ind w:firstLine="0" w:firstLineChars="0"/>
        <w:rPr>
          <w:rFonts w:hint="default" w:ascii="Times New Roman" w:hAnsi="Times New Roman" w:cs="Times New Roman"/>
          <w:color w:val="auto"/>
        </w:rPr>
      </w:pPr>
    </w:p>
    <w:p w14:paraId="3829634B">
      <w:pPr>
        <w:pStyle w:val="13"/>
        <w:spacing w:after="0" w:line="384" w:lineRule="exact"/>
        <w:ind w:firstLine="0" w:firstLineChars="0"/>
        <w:rPr>
          <w:rFonts w:hint="default" w:ascii="Times New Roman" w:hAnsi="Times New Roman" w:cs="Times New Roman"/>
          <w:color w:val="auto"/>
        </w:rPr>
      </w:pPr>
    </w:p>
    <w:p w14:paraId="6C001488">
      <w:pPr>
        <w:pStyle w:val="13"/>
        <w:spacing w:after="0" w:line="384" w:lineRule="exact"/>
        <w:ind w:firstLine="0" w:firstLineChars="0"/>
        <w:rPr>
          <w:rFonts w:hint="default" w:ascii="Times New Roman" w:hAnsi="Times New Roman" w:cs="Times New Roman"/>
          <w:color w:val="auto"/>
        </w:rPr>
      </w:pPr>
    </w:p>
    <w:p w14:paraId="360FE97A">
      <w:pPr>
        <w:pStyle w:val="13"/>
        <w:spacing w:after="0" w:line="384" w:lineRule="exact"/>
        <w:ind w:firstLine="0" w:firstLineChars="0"/>
        <w:rPr>
          <w:rFonts w:hint="default" w:ascii="Times New Roman" w:hAnsi="Times New Roman" w:cs="Times New Roman"/>
          <w:color w:val="auto"/>
        </w:rPr>
      </w:pPr>
    </w:p>
    <w:p w14:paraId="2561184E">
      <w:pPr>
        <w:pStyle w:val="13"/>
        <w:spacing w:after="0" w:line="384" w:lineRule="exact"/>
        <w:ind w:firstLine="0" w:firstLineChars="0"/>
        <w:rPr>
          <w:rFonts w:hint="default" w:ascii="Times New Roman" w:hAnsi="Times New Roman" w:cs="Times New Roman"/>
          <w:color w:val="auto"/>
        </w:rPr>
      </w:pPr>
    </w:p>
    <w:p w14:paraId="31D9279C">
      <w:pPr>
        <w:pStyle w:val="13"/>
        <w:spacing w:after="0" w:line="384" w:lineRule="exact"/>
        <w:ind w:firstLine="0" w:firstLineChars="0"/>
        <w:rPr>
          <w:rFonts w:hint="default" w:ascii="Times New Roman" w:hAnsi="Times New Roman" w:cs="Times New Roman"/>
          <w:color w:val="auto"/>
        </w:rPr>
      </w:pPr>
    </w:p>
    <w:p w14:paraId="1C918850">
      <w:pPr>
        <w:pStyle w:val="13"/>
        <w:spacing w:after="0" w:line="384" w:lineRule="exact"/>
        <w:ind w:firstLine="0" w:firstLineChars="0"/>
        <w:rPr>
          <w:rFonts w:hint="default" w:ascii="Times New Roman" w:hAnsi="Times New Roman" w:cs="Times New Roman"/>
          <w:color w:val="auto"/>
        </w:rPr>
      </w:pPr>
    </w:p>
    <w:p w14:paraId="3A260904">
      <w:pPr>
        <w:pStyle w:val="5"/>
        <w:ind w:left="-84" w:leftChars="-40" w:firstLine="84" w:firstLineChars="40"/>
        <w:rPr>
          <w:rFonts w:hint="default" w:ascii="Times New Roman" w:hAnsi="Times New Roman" w:cs="Times New Roman"/>
          <w:color w:val="auto"/>
        </w:rPr>
      </w:pPr>
    </w:p>
    <w:p w14:paraId="3B95A6B7">
      <w:pPr>
        <w:pStyle w:val="5"/>
        <w:ind w:left="-84" w:leftChars="-40" w:firstLine="84" w:firstLineChars="40"/>
        <w:rPr>
          <w:rFonts w:hint="default" w:ascii="Times New Roman" w:hAnsi="Times New Roman" w:cs="Times New Roman"/>
          <w:color w:val="auto"/>
        </w:r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158115</wp:posOffset>
                </wp:positionV>
                <wp:extent cx="561594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3.85pt;margin-top:12.45pt;height:0pt;width:442.2pt;z-index:251659264;mso-width-relative:page;mso-height-relative:page;" filled="f" stroked="t" coordsize="21600,21600" o:gfxdata="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Ng/5tYA&#10;AAAIAQAADwAAAAAAAAABACAAAAAiAAAAZHJzL2Rvd25yZXYueG1sUEsBAhQAFAAAAAgAh07iQCpq&#10;NYDoAQAA2wMAAA4AAAAAAAAAAQAgAAAAJQEAAGRycy9lMm9Eb2MueG1sUEsFBgAAAAAGAAYAWQEA&#10;AH8FAAAAAA==&#10;">
                <v:fill on="f" focussize="0,0"/>
                <v:stroke color="#000000" joinstyle="round"/>
                <v:imagedata o:title=""/>
                <o:lock v:ext="edit" aspectratio="f"/>
              </v:line>
            </w:pict>
          </mc:Fallback>
        </mc:AlternateContent>
      </w:r>
    </w:p>
    <w:p w14:paraId="185EAA0B">
      <w:pPr>
        <w:spacing w:after="0" w:line="440" w:lineRule="exact"/>
        <w:ind w:left="-84" w:leftChars="-40" w:right="-103" w:rightChars="-49" w:firstLine="252" w:firstLineChars="90"/>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368300</wp:posOffset>
                </wp:positionV>
                <wp:extent cx="561594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8pt;margin-top:29pt;height:0pt;width:442.2pt;z-index:251660288;mso-width-relative:page;mso-height-relative:page;" filled="f" stroked="t" coordsize="21600,21600" o:gfxdata="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jWv+dYA&#10;AAAIAQAADwAAAAAAAAABACAAAAAiAAAAZHJzL2Rvd25yZXYueG1sUEsBAhQAFAAAAAgAh07iQMkE&#10;S13oAQAA2wMAAA4AAAAAAAAAAQAgAAAAJQEAAGRycy9lMm9Eb2MueG1sUEsFBgAAAAAGAAYAWQEA&#10;AH8FAAAAAA==&#10;">
                <v:fill on="f" focussize="0,0"/>
                <v:stroke color="#000000" joinstyle="round"/>
                <v:imagedata o:title=""/>
                <o:lock v:ext="edit" aspectratio="f"/>
              </v:line>
            </w:pict>
          </mc:Fallback>
        </mc:AlternateContent>
      </w:r>
      <w:r>
        <w:rPr>
          <w:rFonts w:hint="default" w:ascii="Times New Roman" w:hAnsi="Times New Roman" w:eastAsia="楷体_GB2312" w:cs="Times New Roman"/>
          <w:color w:val="auto"/>
          <w:sz w:val="28"/>
          <w:szCs w:val="28"/>
        </w:rPr>
        <w:t>县十八届人大</w:t>
      </w:r>
      <w:r>
        <w:rPr>
          <w:rFonts w:hint="default" w:ascii="Times New Roman" w:hAnsi="Times New Roman" w:eastAsia="楷体_GB2312" w:cs="Times New Roman"/>
          <w:color w:val="auto"/>
          <w:sz w:val="28"/>
          <w:szCs w:val="28"/>
          <w:lang w:val="en-US" w:eastAsia="zh-CN"/>
        </w:rPr>
        <w:t>五</w:t>
      </w:r>
      <w:r>
        <w:rPr>
          <w:rFonts w:hint="default" w:ascii="Times New Roman" w:hAnsi="Times New Roman" w:eastAsia="楷体_GB2312" w:cs="Times New Roman"/>
          <w:color w:val="auto"/>
          <w:sz w:val="28"/>
          <w:szCs w:val="28"/>
        </w:rPr>
        <w:t xml:space="preserve">次会议秘书处                     </w:t>
      </w:r>
      <w:r>
        <w:rPr>
          <w:rFonts w:hint="default"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rPr>
        <w:t xml:space="preserve"> 202</w:t>
      </w:r>
      <w:r>
        <w:rPr>
          <w:rFonts w:hint="default" w:ascii="Times New Roman" w:hAnsi="Times New Roman" w:eastAsia="楷体_GB2312" w:cs="Times New Roman"/>
          <w:color w:val="auto"/>
          <w:sz w:val="28"/>
          <w:szCs w:val="28"/>
          <w:lang w:val="en-US" w:eastAsia="zh-CN"/>
        </w:rPr>
        <w:t>4</w:t>
      </w:r>
      <w:r>
        <w:rPr>
          <w:rFonts w:hint="default" w:ascii="Times New Roman" w:hAnsi="Times New Roman" w:eastAsia="楷体_GB2312" w:cs="Times New Roman"/>
          <w:color w:val="auto"/>
          <w:sz w:val="28"/>
          <w:szCs w:val="28"/>
        </w:rPr>
        <w:t>年2月</w:t>
      </w:r>
    </w:p>
    <w:sectPr>
      <w:pgSz w:w="11906" w:h="16838"/>
      <w:pgMar w:top="2098" w:right="1587" w:bottom="1984" w:left="1587"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7020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4D8A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1w0yrdAQAAvgMAAA4AAAAAAAAA&#10;AQAgAAAAHgEAAGRycy9lMm9Eb2MueG1sUEsFBgAAAAAGAAYAWQEAAG0FAAAAAA==&#10;">
              <v:fill on="f" focussize="0,0"/>
              <v:stroke on="f"/>
              <v:imagedata o:title=""/>
              <o:lock v:ext="edit" aspectratio="f"/>
              <v:textbox inset="0mm,0mm,0mm,0mm" style="mso-fit-shape-to-text:t;">
                <w:txbxContent>
                  <w:p w14:paraId="4FC4D8A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6D79">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0D36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Fx1AtzdAQAAvgMAAA4AAAAAAAAA&#10;AQAgAAAAHgEAAGRycy9lMm9Eb2MueG1sUEsFBgAAAAAGAAYAWQEAAG0FAAAAAA==&#10;">
              <v:fill on="f" focussize="0,0"/>
              <v:stroke on="f"/>
              <v:imagedata o:title=""/>
              <o:lock v:ext="edit" aspectratio="f"/>
              <v:textbox inset="0mm,0mm,0mm,0mm" style="mso-fit-shape-to-text:t;">
                <w:txbxContent>
                  <w:p w14:paraId="5FA0D36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30E4B">
    <w:pPr>
      <w:pStyle w:val="6"/>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62016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Jm0t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jEmbS3gEAAL4DAAAOAAAAAAAA&#10;AAEAIAAAAB4BAABkcnMvZTJvRG9jLnhtbFBLBQYAAAAABgAGAFkBAABuBQAAAAA=&#10;">
              <v:fill on="f" focussize="0,0"/>
              <v:stroke on="f"/>
              <v:imagedata o:title=""/>
              <o:lock v:ext="edit" aspectratio="f"/>
              <v:textbox inset="0mm,0mm,0mm,0mm" style="mso-fit-shape-to-text:t;">
                <w:txbxContent>
                  <w:p w14:paraId="4462016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ZTExMzQzYWFhNmJlNjgyZjc2NDQzZTA1ZTBlZjAifQ=="/>
  </w:docVars>
  <w:rsids>
    <w:rsidRoot w:val="B9FD48D1"/>
    <w:rsid w:val="01377C00"/>
    <w:rsid w:val="065B3392"/>
    <w:rsid w:val="0F8FD11C"/>
    <w:rsid w:val="0FF33A93"/>
    <w:rsid w:val="121382E9"/>
    <w:rsid w:val="170A02D0"/>
    <w:rsid w:val="18376EFE"/>
    <w:rsid w:val="1F9A7664"/>
    <w:rsid w:val="1FB3CDE1"/>
    <w:rsid w:val="1FBE83BE"/>
    <w:rsid w:val="1FDF20DC"/>
    <w:rsid w:val="2B3AAA43"/>
    <w:rsid w:val="3533051D"/>
    <w:rsid w:val="376F07DE"/>
    <w:rsid w:val="3AFB6533"/>
    <w:rsid w:val="3DEBE811"/>
    <w:rsid w:val="3E5D6719"/>
    <w:rsid w:val="3FABE394"/>
    <w:rsid w:val="3FEBD2C9"/>
    <w:rsid w:val="400242A3"/>
    <w:rsid w:val="4BBB2F96"/>
    <w:rsid w:val="577F80A4"/>
    <w:rsid w:val="58FCFDC9"/>
    <w:rsid w:val="59D7AFEF"/>
    <w:rsid w:val="5BD795B0"/>
    <w:rsid w:val="5D8B3A8A"/>
    <w:rsid w:val="5F3DB5AE"/>
    <w:rsid w:val="5F8EA3DC"/>
    <w:rsid w:val="5FBF6E61"/>
    <w:rsid w:val="5FCF5885"/>
    <w:rsid w:val="5FDE655D"/>
    <w:rsid w:val="5FFA2518"/>
    <w:rsid w:val="60B767D6"/>
    <w:rsid w:val="61164056"/>
    <w:rsid w:val="637F0C3B"/>
    <w:rsid w:val="63F05A95"/>
    <w:rsid w:val="66773817"/>
    <w:rsid w:val="6B7B7621"/>
    <w:rsid w:val="6B8E5FD4"/>
    <w:rsid w:val="6BAF402B"/>
    <w:rsid w:val="6CFE7A13"/>
    <w:rsid w:val="6E75869F"/>
    <w:rsid w:val="6EFF7C51"/>
    <w:rsid w:val="6F3248B5"/>
    <w:rsid w:val="6F9F7D12"/>
    <w:rsid w:val="6FF7D9E4"/>
    <w:rsid w:val="6FFDB3FC"/>
    <w:rsid w:val="737A760A"/>
    <w:rsid w:val="73AD3B2C"/>
    <w:rsid w:val="73CAD749"/>
    <w:rsid w:val="75FFE146"/>
    <w:rsid w:val="767E17C5"/>
    <w:rsid w:val="77FD139B"/>
    <w:rsid w:val="793F3157"/>
    <w:rsid w:val="79B78D0F"/>
    <w:rsid w:val="79FB3BB7"/>
    <w:rsid w:val="79FD632A"/>
    <w:rsid w:val="7AFC6D76"/>
    <w:rsid w:val="7B1F9E9E"/>
    <w:rsid w:val="7B9B899C"/>
    <w:rsid w:val="7BEDFDE6"/>
    <w:rsid w:val="7BF839B2"/>
    <w:rsid w:val="7BFA3B1D"/>
    <w:rsid w:val="7BFF98D9"/>
    <w:rsid w:val="7C2FB990"/>
    <w:rsid w:val="7CF0B419"/>
    <w:rsid w:val="7CFFA594"/>
    <w:rsid w:val="7D773971"/>
    <w:rsid w:val="7DBDC6B8"/>
    <w:rsid w:val="7DDD15FE"/>
    <w:rsid w:val="7DEB1C1D"/>
    <w:rsid w:val="7DFD69CB"/>
    <w:rsid w:val="7DFFFC12"/>
    <w:rsid w:val="7E7D95E2"/>
    <w:rsid w:val="7EFBC678"/>
    <w:rsid w:val="7F7CC1D8"/>
    <w:rsid w:val="7F7EE69F"/>
    <w:rsid w:val="7FBF56D1"/>
    <w:rsid w:val="7FD70D43"/>
    <w:rsid w:val="7FD75DFD"/>
    <w:rsid w:val="7FD8764A"/>
    <w:rsid w:val="7FDA87DB"/>
    <w:rsid w:val="7FE881BD"/>
    <w:rsid w:val="7FEF1A12"/>
    <w:rsid w:val="7FF70F8F"/>
    <w:rsid w:val="7FFB0CF9"/>
    <w:rsid w:val="7FFBD1B1"/>
    <w:rsid w:val="7FFE8D92"/>
    <w:rsid w:val="9BDB9280"/>
    <w:rsid w:val="9BDD464C"/>
    <w:rsid w:val="9FAF89AD"/>
    <w:rsid w:val="A7AAD465"/>
    <w:rsid w:val="AC6EF1A6"/>
    <w:rsid w:val="AFCF3C43"/>
    <w:rsid w:val="B0DF99A4"/>
    <w:rsid w:val="B74FC0A3"/>
    <w:rsid w:val="B7ED270C"/>
    <w:rsid w:val="B7EE40CC"/>
    <w:rsid w:val="B9FD48D1"/>
    <w:rsid w:val="BBCBFC79"/>
    <w:rsid w:val="BBDF8486"/>
    <w:rsid w:val="BDDFCF53"/>
    <w:rsid w:val="BF5BE490"/>
    <w:rsid w:val="BFBF46AE"/>
    <w:rsid w:val="BFF62DE5"/>
    <w:rsid w:val="BFFDC3AA"/>
    <w:rsid w:val="C9FB0934"/>
    <w:rsid w:val="CB4BB57B"/>
    <w:rsid w:val="CEFF1B13"/>
    <w:rsid w:val="D76D7DD2"/>
    <w:rsid w:val="DBFDE49E"/>
    <w:rsid w:val="DDBD505E"/>
    <w:rsid w:val="DDCF47CB"/>
    <w:rsid w:val="DDF01AC8"/>
    <w:rsid w:val="DDF53145"/>
    <w:rsid w:val="DDFFB84C"/>
    <w:rsid w:val="DE0F0CCD"/>
    <w:rsid w:val="DEFEBBC7"/>
    <w:rsid w:val="DEFF3A17"/>
    <w:rsid w:val="DFB9C5F2"/>
    <w:rsid w:val="DFCF0CFC"/>
    <w:rsid w:val="E0FF2DED"/>
    <w:rsid w:val="E17F330B"/>
    <w:rsid w:val="EA96B8C9"/>
    <w:rsid w:val="ECDE3B6B"/>
    <w:rsid w:val="EDD8C848"/>
    <w:rsid w:val="EFB7A01A"/>
    <w:rsid w:val="EFED2595"/>
    <w:rsid w:val="EFF6416D"/>
    <w:rsid w:val="EFFBF99C"/>
    <w:rsid w:val="F3C76AF2"/>
    <w:rsid w:val="F6FBA19E"/>
    <w:rsid w:val="F75C024D"/>
    <w:rsid w:val="F75D4934"/>
    <w:rsid w:val="F75E2B65"/>
    <w:rsid w:val="F7EFF4F4"/>
    <w:rsid w:val="F7FBBFC1"/>
    <w:rsid w:val="F9FEB355"/>
    <w:rsid w:val="FA76506F"/>
    <w:rsid w:val="FBED4DD0"/>
    <w:rsid w:val="FBF74012"/>
    <w:rsid w:val="FCBF18FA"/>
    <w:rsid w:val="FD36275F"/>
    <w:rsid w:val="FDE2F0B2"/>
    <w:rsid w:val="FDF2D7B4"/>
    <w:rsid w:val="FE9B831B"/>
    <w:rsid w:val="FEF428DF"/>
    <w:rsid w:val="FEF50985"/>
    <w:rsid w:val="FF2E7F86"/>
    <w:rsid w:val="FF5EF227"/>
    <w:rsid w:val="FF7831AA"/>
    <w:rsid w:val="FF7D2B3C"/>
    <w:rsid w:val="FF7E9C00"/>
    <w:rsid w:val="FF7F62B4"/>
    <w:rsid w:val="FFB32C4E"/>
    <w:rsid w:val="FFBE11D8"/>
    <w:rsid w:val="FFD7883E"/>
    <w:rsid w:val="FFDB3095"/>
    <w:rsid w:val="FFF4C2D9"/>
    <w:rsid w:val="FFFC3098"/>
    <w:rsid w:val="FFFE48DF"/>
    <w:rsid w:val="FFFF2FF7"/>
    <w:rsid w:val="FFFF59C8"/>
    <w:rsid w:val="FFFFD4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880" w:firstLineChars="200"/>
    </w:pPr>
    <w:rPr>
      <w:rFonts w:ascii="Times New Roman" w:hAnsi="Times New Roman" w:cs="Times New Roman"/>
    </w:rPr>
  </w:style>
  <w:style w:type="paragraph" w:styleId="3">
    <w:name w:val="Body Text Indent"/>
    <w:basedOn w:val="1"/>
    <w:next w:val="4"/>
    <w:autoRedefine/>
    <w:qFormat/>
    <w:uiPriority w:val="99"/>
    <w:pPr>
      <w:ind w:firstLine="630"/>
    </w:pPr>
  </w:style>
  <w:style w:type="paragraph" w:styleId="4">
    <w:name w:val="Body Text"/>
    <w:basedOn w:val="1"/>
    <w:next w:val="1"/>
    <w:autoRedefine/>
    <w:qFormat/>
    <w:uiPriority w:val="99"/>
    <w:pPr>
      <w:spacing w:after="120"/>
    </w:pPr>
  </w:style>
  <w:style w:type="paragraph" w:styleId="5">
    <w:name w:val="Normal Indent"/>
    <w:basedOn w:val="1"/>
    <w:qFormat/>
    <w:uiPriority w:val="99"/>
    <w:pPr>
      <w:ind w:firstLine="420" w:firstLine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qFormat/>
    <w:uiPriority w:val="0"/>
    <w:pPr>
      <w:spacing w:before="240" w:beforeLines="0" w:after="60" w:afterLines="0"/>
      <w:outlineLvl w:val="1"/>
    </w:pPr>
    <w:rPr>
      <w:rFonts w:ascii="Cambria" w:hAnsi="Cambria" w:cs="Cambria"/>
      <w:b/>
      <w:bCs/>
      <w:kern w:val="28"/>
    </w:rPr>
  </w:style>
  <w:style w:type="character" w:styleId="11">
    <w:name w:val="page number"/>
    <w:basedOn w:val="10"/>
    <w:autoRedefine/>
    <w:qFormat/>
    <w:uiPriority w:val="99"/>
  </w:style>
  <w:style w:type="character" w:styleId="12">
    <w:name w:val="Emphasis"/>
    <w:basedOn w:val="10"/>
    <w:autoRedefine/>
    <w:qFormat/>
    <w:uiPriority w:val="0"/>
    <w:rPr>
      <w:i/>
    </w:rPr>
  </w:style>
  <w:style w:type="paragraph" w:customStyle="1" w:styleId="13">
    <w:name w:val="BodyText1I"/>
    <w:basedOn w:val="1"/>
    <w:qFormat/>
    <w:uiPriority w:val="99"/>
    <w:pPr>
      <w:spacing w:after="120"/>
      <w:ind w:firstLine="420" w:firstLineChars="1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10005</Words>
  <Characters>10206</Characters>
  <Lines>0</Lines>
  <Paragraphs>0</Paragraphs>
  <TotalTime>21</TotalTime>
  <ScaleCrop>false</ScaleCrop>
  <LinksUpToDate>false</LinksUpToDate>
  <CharactersWithSpaces>12560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2023-11-13T08:20:00Z</dcterms:created>
  <dc:creator>greatwall</dc:creator>
  <cp:lastModifiedBy>天之物语</cp:lastModifiedBy>
  <cp:lastPrinted>2024-02-20T07:52:00Z</cp:lastPrinted>
  <dcterms:modified xsi:type="dcterms:W3CDTF">2024-09-26T02:11:45Z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8F033713E4FF4D8C91CB967210BA6DAB_13</vt:lpwstr>
  </property>
</Properties>
</file>