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楷体_GB2312" w:cs="Times New Roman"/>
          <w:b/>
          <w:bCs/>
          <w:color w:val="auto"/>
          <w:sz w:val="28"/>
          <w:szCs w:val="28"/>
          <w:lang w:val="en-US" w:eastAsia="zh-CN"/>
        </w:rPr>
      </w:pPr>
      <w:r>
        <w:rPr>
          <w:rFonts w:hint="default" w:ascii="Times New Roman" w:hAnsi="Times New Roman" w:eastAsia="楷体_GB2312" w:cs="Times New Roman"/>
          <w:b/>
          <w:bCs/>
          <w:color w:val="auto"/>
          <w:sz w:val="28"/>
          <w:szCs w:val="28"/>
        </w:rPr>
        <w:t>县</w:t>
      </w:r>
      <w:r>
        <w:rPr>
          <w:rFonts w:hint="default" w:ascii="Times New Roman" w:hAnsi="Times New Roman" w:eastAsia="楷体_GB2312" w:cs="Times New Roman"/>
          <w:b/>
          <w:bCs/>
          <w:color w:val="auto"/>
          <w:sz w:val="28"/>
          <w:szCs w:val="28"/>
          <w:lang w:eastAsia="zh-CN"/>
        </w:rPr>
        <w:t>十八届</w:t>
      </w:r>
      <w:r>
        <w:rPr>
          <w:rFonts w:hint="default" w:ascii="Times New Roman" w:hAnsi="Times New Roman" w:eastAsia="楷体_GB2312" w:cs="Times New Roman"/>
          <w:b/>
          <w:bCs/>
          <w:color w:val="auto"/>
          <w:sz w:val="28"/>
          <w:szCs w:val="28"/>
        </w:rPr>
        <w:t>人大</w:t>
      </w:r>
      <w:r>
        <w:rPr>
          <w:rFonts w:hint="eastAsia" w:ascii="Times New Roman" w:hAnsi="Times New Roman" w:eastAsia="楷体_GB2312" w:cs="Times New Roman"/>
          <w:b/>
          <w:bCs/>
          <w:color w:val="auto"/>
          <w:sz w:val="28"/>
          <w:szCs w:val="28"/>
          <w:lang w:eastAsia="zh-CN"/>
        </w:rPr>
        <w:t>六次</w:t>
      </w:r>
      <w:r>
        <w:rPr>
          <w:rFonts w:hint="default" w:ascii="Times New Roman" w:hAnsi="Times New Roman" w:eastAsia="楷体_GB2312" w:cs="Times New Roman"/>
          <w:b/>
          <w:bCs/>
          <w:color w:val="auto"/>
          <w:sz w:val="28"/>
          <w:szCs w:val="28"/>
        </w:rPr>
        <w:t>会议文件（</w:t>
      </w:r>
      <w:r>
        <w:rPr>
          <w:rFonts w:hint="eastAsia" w:ascii="Times New Roman" w:hAnsi="Times New Roman" w:eastAsia="楷体_GB2312" w:cs="Times New Roman"/>
          <w:b/>
          <w:bCs/>
          <w:color w:val="auto"/>
          <w:sz w:val="28"/>
          <w:szCs w:val="28"/>
          <w:lang w:eastAsia="zh-CN"/>
        </w:rPr>
        <w:t>七</w:t>
      </w:r>
      <w:r>
        <w:rPr>
          <w:rFonts w:hint="default" w:ascii="Times New Roman" w:hAnsi="Times New Roman" w:eastAsia="楷体_GB2312" w:cs="Times New Roman"/>
          <w:b/>
          <w:bCs/>
          <w:color w:val="auto"/>
          <w:sz w:val="28"/>
          <w:szCs w:val="28"/>
        </w:rPr>
        <w:t>）</w:t>
      </w:r>
      <w:r>
        <w:rPr>
          <w:rFonts w:hint="eastAsia" w:ascii="Times New Roman" w:hAnsi="Times New Roman" w:eastAsia="楷体_GB2312" w:cs="Times New Roman"/>
          <w:b/>
          <w:bCs/>
          <w:color w:val="auto"/>
          <w:sz w:val="28"/>
          <w:szCs w:val="28"/>
          <w:lang w:val="en-US" w:eastAsia="zh-CN"/>
        </w:rPr>
        <w:t xml:space="preserve">                      </w:t>
      </w:r>
    </w:p>
    <w:p>
      <w:pPr>
        <w:keepNext w:val="0"/>
        <w:keepLines w:val="0"/>
        <w:pageBreakBefore w:val="0"/>
        <w:widowControl/>
        <w:kinsoku/>
        <w:wordWrap/>
        <w:overflowPunct/>
        <w:topLinePunct w:val="0"/>
        <w:autoSpaceDE/>
        <w:autoSpaceDN/>
        <w:bidi w:val="0"/>
        <w:spacing w:beforeLines="50" w:line="560" w:lineRule="exact"/>
        <w:textAlignment w:val="auto"/>
        <w:rPr>
          <w:rFonts w:hint="default" w:ascii="Times New Roman" w:hAnsi="Times New Roman" w:cs="Times New Roman"/>
          <w:color w:val="auto"/>
          <w:sz w:val="44"/>
          <w:szCs w:val="44"/>
        </w:rPr>
      </w:pPr>
    </w:p>
    <w:p>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澧县人民检察院工作报告</w:t>
      </w:r>
    </w:p>
    <w:p>
      <w:pPr>
        <w:keepNext w:val="0"/>
        <w:keepLines w:val="0"/>
        <w:pageBreakBefore w:val="0"/>
        <w:widowControl/>
        <w:kinsoku/>
        <w:wordWrap/>
        <w:overflowPunct/>
        <w:topLinePunct w:val="0"/>
        <w:autoSpaceDE/>
        <w:autoSpaceDN/>
        <w:bidi w:val="0"/>
        <w:adjustRightInd/>
        <w:snapToGrid/>
        <w:spacing w:before="157" w:beforeLines="50" w:line="500" w:lineRule="exact"/>
        <w:jc w:val="center"/>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——202</w:t>
      </w:r>
      <w:r>
        <w:rPr>
          <w:rFonts w:hint="default" w:ascii="Times New Roman" w:hAnsi="Times New Roman" w:eastAsia="楷体_GB2312" w:cs="Times New Roman"/>
          <w:color w:val="auto"/>
          <w:sz w:val="32"/>
          <w:szCs w:val="32"/>
          <w:lang w:val="en-US" w:eastAsia="zh-CN"/>
        </w:rPr>
        <w:t>5</w:t>
      </w:r>
      <w:r>
        <w:rPr>
          <w:rFonts w:hint="default" w:ascii="Times New Roman" w:hAnsi="Times New Roman" w:eastAsia="楷体_GB2312" w:cs="Times New Roman"/>
          <w:color w:val="auto"/>
          <w:sz w:val="32"/>
          <w:szCs w:val="32"/>
        </w:rPr>
        <w:t>年</w:t>
      </w:r>
      <w:r>
        <w:rPr>
          <w:rFonts w:hint="eastAsia" w:ascii="Times New Roman" w:hAnsi="Times New Roman" w:eastAsia="楷体_GB2312" w:cs="Times New Roman"/>
          <w:color w:val="auto"/>
          <w:sz w:val="32"/>
          <w:szCs w:val="32"/>
          <w:lang w:val="en-US" w:eastAsia="zh-CN"/>
        </w:rPr>
        <w:t>5</w:t>
      </w:r>
      <w:r>
        <w:rPr>
          <w:rFonts w:hint="default" w:ascii="Times New Roman" w:hAnsi="Times New Roman" w:eastAsia="楷体_GB2312" w:cs="Times New Roman"/>
          <w:color w:val="auto"/>
          <w:sz w:val="32"/>
          <w:szCs w:val="32"/>
        </w:rPr>
        <w:t>月</w:t>
      </w:r>
      <w:r>
        <w:rPr>
          <w:rFonts w:hint="eastAsia" w:ascii="Times New Roman" w:hAnsi="Times New Roman" w:eastAsia="楷体_GB2312" w:cs="Times New Roman"/>
          <w:color w:val="auto"/>
          <w:sz w:val="32"/>
          <w:szCs w:val="32"/>
          <w:lang w:val="en-US" w:eastAsia="zh-CN"/>
        </w:rPr>
        <w:t>29</w:t>
      </w:r>
      <w:r>
        <w:rPr>
          <w:rFonts w:hint="default" w:ascii="Times New Roman" w:hAnsi="Times New Roman" w:eastAsia="楷体_GB2312" w:cs="Times New Roman"/>
          <w:color w:val="auto"/>
          <w:sz w:val="32"/>
          <w:szCs w:val="32"/>
        </w:rPr>
        <w:t>日在澧县第十八届人民代表大会</w:t>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第</w:t>
      </w:r>
      <w:r>
        <w:rPr>
          <w:rFonts w:hint="eastAsia"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rPr>
        <w:t>次会议上</w:t>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黑体" w:hAnsi="黑体" w:eastAsia="黑体" w:cs="黑体"/>
          <w:color w:val="auto"/>
          <w:sz w:val="32"/>
          <w:szCs w:val="32"/>
        </w:rPr>
      </w:pPr>
      <w:r>
        <w:rPr>
          <w:rFonts w:hint="default" w:ascii="Times New Roman" w:hAnsi="Times New Roman" w:eastAsia="楷体_GB2312" w:cs="Times New Roman"/>
          <w:color w:val="auto"/>
          <w:sz w:val="32"/>
          <w:szCs w:val="32"/>
        </w:rPr>
        <w:t>县人民检察院检察长</w:t>
      </w:r>
      <w:r>
        <w:rPr>
          <w:rFonts w:hint="eastAsia" w:ascii="Times New Roman" w:hAnsi="Times New Roman" w:eastAsia="楷体_GB2312" w:cs="Times New Roman"/>
          <w:color w:val="auto"/>
          <w:sz w:val="32"/>
          <w:szCs w:val="32"/>
          <w:lang w:val="en-US" w:eastAsia="zh-CN"/>
        </w:rPr>
        <w:t xml:space="preserve">  </w:t>
      </w:r>
      <w:r>
        <w:rPr>
          <w:rFonts w:hint="eastAsia" w:ascii="黑体" w:hAnsi="黑体" w:eastAsia="黑体" w:cs="黑体"/>
          <w:color w:val="auto"/>
          <w:sz w:val="32"/>
          <w:szCs w:val="32"/>
        </w:rPr>
        <w:t>杨</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仲</w:t>
      </w:r>
    </w:p>
    <w:p>
      <w:pPr>
        <w:keepNext w:val="0"/>
        <w:keepLines w:val="0"/>
        <w:pageBreakBefore w:val="0"/>
        <w:widowControl/>
        <w:kinsoku/>
        <w:wordWrap/>
        <w:overflowPunct/>
        <w:topLinePunct w:val="0"/>
        <w:autoSpaceDE/>
        <w:autoSpaceDN/>
        <w:bidi w:val="0"/>
        <w:spacing w:line="576" w:lineRule="exact"/>
        <w:ind w:firstLine="640" w:firstLineChars="200"/>
        <w:jc w:val="center"/>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 xml:space="preserve">                                                                                                               </w:t>
      </w:r>
    </w:p>
    <w:p>
      <w:pPr>
        <w:keepNext w:val="0"/>
        <w:keepLines w:val="0"/>
        <w:pageBreakBefore w:val="0"/>
        <w:widowControl/>
        <w:kinsoku/>
        <w:wordWrap/>
        <w:overflowPunct/>
        <w:topLinePunct w:val="0"/>
        <w:autoSpaceDE/>
        <w:autoSpaceDN/>
        <w:bidi w:val="0"/>
        <w:adjustRightInd w:val="0"/>
        <w:snapToGrid/>
        <w:spacing w:line="566" w:lineRule="exact"/>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各位代表：</w:t>
      </w:r>
    </w:p>
    <w:p>
      <w:pPr>
        <w:keepNext w:val="0"/>
        <w:keepLines w:val="0"/>
        <w:pageBreakBefore w:val="0"/>
        <w:widowControl/>
        <w:kinsoku/>
        <w:wordWrap/>
        <w:overflowPunct/>
        <w:topLinePunct w:val="0"/>
        <w:autoSpaceDE/>
        <w:autoSpaceDN/>
        <w:bidi w:val="0"/>
        <w:adjustRightInd w:val="0"/>
        <w:snapToGrid/>
        <w:spacing w:line="56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现在，我代表县检察院向大会报告工作，请予审议，并请各位政协委员和其他列席人员提出意见。</w:t>
      </w:r>
    </w:p>
    <w:p>
      <w:pPr>
        <w:keepNext w:val="0"/>
        <w:keepLines w:val="0"/>
        <w:pageBreakBefore w:val="0"/>
        <w:widowControl/>
        <w:kinsoku/>
        <w:wordWrap/>
        <w:overflowPunct/>
        <w:topLinePunct w:val="0"/>
        <w:autoSpaceDE/>
        <w:autoSpaceDN/>
        <w:bidi w:val="0"/>
        <w:adjustRightInd w:val="0"/>
        <w:snapToGrid/>
        <w:spacing w:line="566" w:lineRule="exact"/>
        <w:ind w:firstLine="640" w:firstLineChars="200"/>
        <w:jc w:val="both"/>
        <w:textAlignment w:val="auto"/>
        <w:rPr>
          <w:rFonts w:hint="default" w:ascii="Times New Roman" w:hAnsi="Times New Roman" w:eastAsia="黑体" w:cs="Times New Roman"/>
          <w:color w:val="auto"/>
          <w:sz w:val="32"/>
          <w:szCs w:val="32"/>
          <w:lang w:val="en-US" w:eastAsia="zh-CN"/>
        </w:rPr>
      </w:pPr>
    </w:p>
    <w:p>
      <w:pPr>
        <w:keepNext w:val="0"/>
        <w:keepLines w:val="0"/>
        <w:pageBreakBefore w:val="0"/>
        <w:widowControl/>
        <w:kinsoku/>
        <w:wordWrap/>
        <w:overflowPunct/>
        <w:topLinePunct w:val="0"/>
        <w:autoSpaceDE/>
        <w:autoSpaceDN/>
        <w:bidi w:val="0"/>
        <w:adjustRightInd w:val="0"/>
        <w:snapToGrid/>
        <w:spacing w:line="566"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2024</w:t>
      </w:r>
      <w:r>
        <w:rPr>
          <w:rFonts w:hint="default" w:ascii="Times New Roman" w:hAnsi="Times New Roman" w:eastAsia="黑体" w:cs="Times New Roman"/>
          <w:color w:val="auto"/>
          <w:sz w:val="32"/>
          <w:szCs w:val="32"/>
        </w:rPr>
        <w:t>年主要工作</w:t>
      </w:r>
    </w:p>
    <w:p>
      <w:pPr>
        <w:pStyle w:val="2"/>
        <w:keepNext w:val="0"/>
        <w:keepLines w:val="0"/>
        <w:pageBreakBefore w:val="0"/>
        <w:kinsoku/>
        <w:wordWrap/>
        <w:overflowPunct/>
        <w:topLinePunct w:val="0"/>
        <w:autoSpaceDE/>
        <w:autoSpaceDN/>
        <w:bidi w:val="0"/>
        <w:snapToGrid/>
        <w:spacing w:line="566" w:lineRule="exact"/>
        <w:textAlignment w:val="auto"/>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val="0"/>
        <w:snapToGrid/>
        <w:spacing w:line="560" w:lineRule="exact"/>
        <w:ind w:firstLine="664"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spacing w:val="6"/>
          <w:kern w:val="0"/>
          <w:sz w:val="32"/>
          <w:szCs w:val="32"/>
          <w:lang w:val="en-US" w:eastAsia="zh-CN" w:bidi="ar"/>
        </w:rPr>
        <w:t>2024年，县检察院在县委和上级检察机关的坚强领导下，在县人大及其常委会的有力监督下，在县政府、县政协和社会各界的关心支持下，始终坚持以习近平新时代中国特色社会主义思想为指导，深入学习领会习近平法治思想，全面贯彻党的二十大和二十届三中全会精神，忠实履行宪法法律赋予的法律监督职责，自觉为大局服务、为人民司法、为法治担当，各项检察工作取得新进展。共获得市级以上团体奖项15项，个人奖项8人次。澧县检察院被湖南省检察院评为“先进基层检察</w:t>
      </w:r>
      <w:r>
        <w:rPr>
          <w:rFonts w:hint="default" w:ascii="Times New Roman" w:hAnsi="Times New Roman" w:eastAsia="仿宋_GB2312" w:cs="Times New Roman"/>
          <w:b w:val="0"/>
          <w:bCs w:val="0"/>
          <w:color w:val="auto"/>
          <w:kern w:val="0"/>
          <w:sz w:val="32"/>
          <w:szCs w:val="32"/>
          <w:lang w:val="en-US" w:eastAsia="zh-CN" w:bidi="ar"/>
        </w:rPr>
        <w:t>院”。</w:t>
      </w:r>
    </w:p>
    <w:p>
      <w:pPr>
        <w:keepNext w:val="0"/>
        <w:keepLines w:val="0"/>
        <w:pageBreakBefore w:val="0"/>
        <w:widowControl/>
        <w:numPr>
          <w:ilvl w:val="0"/>
          <w:numId w:val="0"/>
        </w:numPr>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一、以为大局服务为政治责任，找准检察之“位”</w:t>
      </w: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检察之“位”，在于着眼服务中国式现代化这个最大政治和高质量发展这个新时代的硬道理，有效发挥法治固根本、稳预期、利长远的保障作用。</w:t>
      </w:r>
    </w:p>
    <w:p>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shd w:val="clear" w:color="auto" w:fill="auto"/>
          <w:lang w:val="en-US" w:eastAsia="zh-CN" w:bidi="ar"/>
        </w:rPr>
      </w:pPr>
      <w:r>
        <w:rPr>
          <w:rFonts w:hint="eastAsia" w:ascii="楷体_GB2312" w:hAnsi="楷体_GB2312" w:eastAsia="楷体_GB2312" w:cs="楷体_GB2312"/>
          <w:color w:val="auto"/>
          <w:sz w:val="32"/>
          <w:szCs w:val="32"/>
          <w:lang w:val="en-US" w:eastAsia="zh-CN"/>
        </w:rPr>
        <w:t>全力营造安全稳定发展环境。</w:t>
      </w:r>
      <w:r>
        <w:rPr>
          <w:rFonts w:hint="default" w:ascii="Times New Roman" w:hAnsi="Times New Roman" w:eastAsia="仿宋_GB2312" w:cs="Times New Roman"/>
          <w:b w:val="0"/>
          <w:bCs w:val="0"/>
          <w:color w:val="auto"/>
          <w:kern w:val="0"/>
          <w:sz w:val="32"/>
          <w:szCs w:val="32"/>
          <w:lang w:val="en-US" w:eastAsia="zh-CN" w:bidi="ar"/>
        </w:rPr>
        <w:t>贯彻总体国家安全观，依法惩治各类严重刑事犯罪。依法批准逮捕200件236人；依法提起公诉310件392人。其中，办理涉枪涉爆、恐怖主义、毒品、偷越国边境等案件36件47人，办理故意杀人、强奸、“两抢一盗”等案件104件122人。</w:t>
      </w:r>
      <w:r>
        <w:rPr>
          <w:rFonts w:hint="default" w:ascii="Times New Roman" w:hAnsi="Times New Roman" w:eastAsia="仿宋_GB2312" w:cs="Times New Roman"/>
          <w:b w:val="0"/>
          <w:bCs w:val="0"/>
          <w:color w:val="auto"/>
          <w:kern w:val="0"/>
          <w:sz w:val="32"/>
          <w:szCs w:val="32"/>
          <w:shd w:val="clear" w:color="auto" w:fill="auto"/>
          <w:lang w:val="en-US" w:eastAsia="zh-CN" w:bidi="ar"/>
        </w:rPr>
        <w:t>深入推</w:t>
      </w:r>
      <w:r>
        <w:rPr>
          <w:rFonts w:hint="default" w:ascii="Times New Roman" w:hAnsi="Times New Roman" w:eastAsia="仿宋_GB2312" w:cs="Times New Roman"/>
          <w:b w:val="0"/>
          <w:bCs w:val="0"/>
          <w:color w:val="auto"/>
          <w:kern w:val="0"/>
          <w:sz w:val="32"/>
          <w:szCs w:val="32"/>
          <w:lang w:val="en-US" w:eastAsia="zh-CN" w:bidi="ar"/>
        </w:rPr>
        <w:t>进打击治理防范电信网络新型违法犯罪等专项行动，办理涉“两卡”犯罪47件72人，配合公安机关打击涉100余人缅北诈骗犯罪集团。常态化推进扫黑除恶斗争，办理涉黑恶案件1件。督促整治交通运输、加油站等重点行业领域，消除安全隐患15处。</w:t>
      </w:r>
      <w:r>
        <w:rPr>
          <w:rFonts w:hint="default" w:ascii="Times New Roman" w:hAnsi="Times New Roman" w:eastAsia="仿宋_GB2312" w:cs="Times New Roman"/>
          <w:b w:val="0"/>
          <w:bCs w:val="0"/>
          <w:color w:val="auto"/>
          <w:kern w:val="0"/>
          <w:sz w:val="32"/>
          <w:szCs w:val="32"/>
          <w:shd w:val="clear" w:color="auto" w:fill="auto"/>
          <w:lang w:val="en-US" w:eastAsia="zh-CN" w:bidi="ar"/>
        </w:rPr>
        <w:t>办理不合格灭火器专案，开展实地勘查10次，立案2件，相关场所均整改到位。</w:t>
      </w:r>
    </w:p>
    <w:p>
      <w:pPr>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持续助推法治化营商环境建设。</w:t>
      </w:r>
      <w:r>
        <w:rPr>
          <w:rFonts w:hint="default" w:ascii="Times New Roman" w:hAnsi="Times New Roman" w:eastAsia="仿宋_GB2312" w:cs="Times New Roman"/>
          <w:b w:val="0"/>
          <w:bCs w:val="0"/>
          <w:color w:val="auto"/>
          <w:kern w:val="0"/>
          <w:sz w:val="32"/>
          <w:szCs w:val="32"/>
          <w:lang w:val="en-US" w:eastAsia="zh-CN" w:bidi="ar"/>
        </w:rPr>
        <w:t>受理审查逮捕涉企案件2件2人，批准逮捕1件1人；受理审查起诉涉企案件4件7人，起诉1件2人，立案监督1件1人。办理的征某某与湘楚世界公司委托合同纠纷案再审检察建议被法院采纳，帮助企业挽回损失十余万元。办理的单某拒不支付劳动报酬案，通过羁押必要性审查，及时提出变更强制措施建议，公司经营逐渐恢复，拖欠的工资有序偿还。制定《澧县人民检察院“检察护企”暨“三高四新</w:t>
      </w:r>
      <w:r>
        <w:rPr>
          <w:rFonts w:hint="eastAsia" w:ascii="Times New Roman" w:hAnsi="Times New Roman"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法治护航”专项行动实施方案》，将护航企业经济发展的任务落实落细。深入开展“万警联万企”行动，院领导带头深入企业实地走访调研，召开“法治护航</w:t>
      </w:r>
      <w:r>
        <w:rPr>
          <w:rFonts w:hint="eastAsia" w:ascii="Times New Roman" w:hAnsi="Times New Roman"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问需企业”座谈会，邀请企业家代表等12人参加座谈，用生动的案例展示引导民营企业家增强法治意识。</w:t>
      </w:r>
    </w:p>
    <w:p>
      <w:pPr>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着力当好生态环境资源检察卫士。</w:t>
      </w:r>
      <w:r>
        <w:rPr>
          <w:rFonts w:hint="default" w:ascii="Times New Roman" w:hAnsi="Times New Roman" w:eastAsia="仿宋_GB2312" w:cs="Times New Roman"/>
          <w:b w:val="0"/>
          <w:bCs w:val="0"/>
          <w:color w:val="auto"/>
          <w:kern w:val="0"/>
          <w:sz w:val="32"/>
          <w:szCs w:val="32"/>
          <w:shd w:val="clear" w:color="auto" w:fill="auto"/>
          <w:lang w:val="en-US" w:eastAsia="zh-CN" w:bidi="ar"/>
        </w:rPr>
        <w:t>践行“用最严密法治保障绿色发展”的理念，</w:t>
      </w:r>
      <w:r>
        <w:rPr>
          <w:rFonts w:hint="default" w:ascii="Times New Roman" w:hAnsi="Times New Roman" w:eastAsia="仿宋_GB2312" w:cs="Times New Roman"/>
          <w:b w:val="0"/>
          <w:bCs w:val="0"/>
          <w:color w:val="auto"/>
          <w:kern w:val="0"/>
          <w:sz w:val="32"/>
          <w:szCs w:val="32"/>
          <w:lang w:val="en-US" w:eastAsia="zh-CN" w:bidi="ar"/>
        </w:rPr>
        <w:t>办理生态环境和资源保护领域公益诉讼案件24件。针对非法占用林地、耕地、基本农田以及高标准农田建设项目工程质量不合格、建后管护不到位问题分别立案，督促相关部门依法履职，挽回被损毁国有林地33亩，复垦被非法改变用途和占用的耕地4.5亩，督促整治高标准农田建设工程质量和建后管护问题3处。针对未依法进行环境影响评价等行为，立案4件，督促环保部门依法履职。针对非法处置、转运、倾倒2905吨危险废物铝灰的行为，以污染环境罪起诉9人，并提起刑事附带民事公益诉讼追索污染处置费、生态环境损害赔偿金。针对非法捕捞水产品行为，通过支持磋商，促成赔偿义务人支付生态环境损害赔偿金4.61万元，增殖放流鱼苗90.2万尾，通过行刑反向衔接案件办理，建议农业农村局对6名被不起诉人作出行政处罚。</w:t>
      </w:r>
    </w:p>
    <w:p>
      <w:pPr>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全面压实反腐败斗争责任。</w:t>
      </w:r>
      <w:r>
        <w:rPr>
          <w:rFonts w:hint="default" w:ascii="Times New Roman" w:hAnsi="Times New Roman" w:eastAsia="仿宋_GB2312" w:cs="Times New Roman"/>
          <w:b w:val="0"/>
          <w:bCs w:val="0"/>
          <w:color w:val="auto"/>
          <w:kern w:val="0"/>
          <w:sz w:val="32"/>
          <w:szCs w:val="32"/>
          <w:lang w:val="en-US" w:eastAsia="zh-CN" w:bidi="ar"/>
        </w:rPr>
        <w:t>深化</w:t>
      </w:r>
      <w:r>
        <w:rPr>
          <w:rFonts w:hint="default" w:ascii="Times New Roman" w:hAnsi="Times New Roman" w:eastAsia="仿宋_GB2312" w:cs="Times New Roman"/>
          <w:b w:val="0"/>
          <w:bCs w:val="0"/>
          <w:color w:val="auto"/>
          <w:kern w:val="0"/>
          <w:sz w:val="32"/>
          <w:szCs w:val="32"/>
          <w:shd w:val="clear" w:color="auto" w:fill="auto"/>
          <w:lang w:val="en-US" w:eastAsia="zh-CN" w:bidi="ar"/>
        </w:rPr>
        <w:t>监检协作机制，监检配合有力，</w:t>
      </w:r>
      <w:r>
        <w:rPr>
          <w:rFonts w:hint="default" w:ascii="Times New Roman" w:hAnsi="Times New Roman" w:eastAsia="仿宋_GB2312" w:cs="Times New Roman"/>
          <w:b w:val="0"/>
          <w:bCs w:val="0"/>
          <w:color w:val="auto"/>
          <w:kern w:val="0"/>
          <w:sz w:val="32"/>
          <w:szCs w:val="32"/>
          <w:lang w:val="en-US" w:eastAsia="zh-CN" w:bidi="ar"/>
        </w:rPr>
        <w:t>全年共受理职务犯罪案件9件12人，提起公诉4件4人，</w:t>
      </w:r>
      <w:r>
        <w:rPr>
          <w:rFonts w:hint="default" w:ascii="Times New Roman" w:hAnsi="Times New Roman" w:eastAsia="仿宋_GB2312" w:cs="Times New Roman"/>
          <w:b w:val="0"/>
          <w:bCs w:val="0"/>
          <w:color w:val="auto"/>
          <w:kern w:val="0"/>
          <w:sz w:val="32"/>
          <w:szCs w:val="32"/>
          <w:shd w:val="clear" w:color="auto" w:fill="auto"/>
          <w:lang w:val="en-US" w:eastAsia="zh-CN" w:bidi="ar"/>
        </w:rPr>
        <w:t>向县纪监委移送线索1件。</w:t>
      </w:r>
      <w:r>
        <w:rPr>
          <w:rFonts w:hint="default" w:ascii="Times New Roman" w:hAnsi="Times New Roman" w:eastAsia="仿宋_GB2312" w:cs="Times New Roman"/>
          <w:b w:val="0"/>
          <w:bCs w:val="0"/>
          <w:color w:val="auto"/>
          <w:kern w:val="0"/>
          <w:sz w:val="32"/>
          <w:szCs w:val="32"/>
          <w:lang w:val="en-US" w:eastAsia="zh-CN" w:bidi="ar"/>
        </w:rPr>
        <w:t>强化检察侦查工作，运用醉酒驾驶机动车刑事下行案件线索筛选模型，立案侦查徇私枉法案件1件1人，在全市基层检察院中率先破零，该案提起公诉后被县法院作出有罪判决。</w:t>
      </w:r>
    </w:p>
    <w:p>
      <w:pPr>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二、以为人民司法为发展理念，行稳检察之“道”</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检察之“道”，在于将“让人民群众满意”作为一切检察工作的出发点和落脚点，不断完善检察为民机制，切实用法治保障民生福祉。</w:t>
      </w:r>
    </w:p>
    <w:p>
      <w:pPr>
        <w:pStyle w:val="2"/>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kern w:val="2"/>
          <w:sz w:val="32"/>
          <w:szCs w:val="32"/>
          <w:lang w:val="en-US" w:eastAsia="zh-CN" w:bidi="ar-SA"/>
        </w:rPr>
        <w:t>保障人民群众切身利益。</w:t>
      </w:r>
      <w:r>
        <w:rPr>
          <w:rFonts w:hint="default" w:ascii="Times New Roman" w:hAnsi="Times New Roman" w:eastAsia="仿宋_GB2312" w:cs="Times New Roman"/>
          <w:b w:val="0"/>
          <w:bCs w:val="0"/>
          <w:color w:val="auto"/>
          <w:kern w:val="0"/>
          <w:sz w:val="32"/>
          <w:szCs w:val="32"/>
          <w:lang w:val="en-US" w:eastAsia="zh-CN" w:bidi="ar"/>
        </w:rPr>
        <w:t>开展“检护民生”“常检护农”等专项活动，运用监督手段督促依法行政，有效守护人民群众美好生活。紧盯食品药品安全突出问题，针对未经许可擅自从事食品生产经营、销售过期食品以及市场管理不规范等，办理公益诉讼案件5件，督促关闭小作坊2家。针对生产、销售有毒、有害食品犯罪行为，办理刑事附带民事公益诉讼案件2件，向损害消费者权益主体诉请惩罚性赔偿金53.9万元。针对畜禽养殖存在的违法违规问题，督促2家经营主体办理动物防疫条件合格证，保障肉制品安全。紧盯个人信息保护问题，办理刑事案件1件1人、公益诉讼案件2件2人、行刑反向衔接案件2件2人，加强与公安、工信、网信与市场监督管理等部门的协作配合，为个人信息加把“保护锁”。紧盯医保基金违法违规问题，与县医保局、县公安局、县财政局等多家单位联合开展专项整治工作，保障群众医疗安全。</w:t>
      </w:r>
    </w:p>
    <w:p>
      <w:pPr>
        <w:pStyle w:val="4"/>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kern w:val="2"/>
          <w:sz w:val="32"/>
          <w:szCs w:val="32"/>
          <w:lang w:val="en-US" w:eastAsia="zh-CN" w:bidi="ar-SA"/>
        </w:rPr>
        <w:t>用心用情化解群众矛盾。</w:t>
      </w:r>
      <w:r>
        <w:rPr>
          <w:rFonts w:hint="default" w:ascii="Times New Roman" w:hAnsi="Times New Roman" w:eastAsia="仿宋_GB2312" w:cs="Times New Roman"/>
          <w:b w:val="0"/>
          <w:bCs w:val="0"/>
          <w:color w:val="auto"/>
          <w:kern w:val="0"/>
          <w:sz w:val="32"/>
          <w:szCs w:val="32"/>
          <w:lang w:val="en-US" w:eastAsia="zh-CN" w:bidi="ar"/>
        </w:rPr>
        <w:t>坚持贯彻宽严相济刑事政策，依法不批捕54件72人，不起诉154件184人，促成和解72件79人。统筹落实认罪认罚从宽制度，适用认罪认罚办理案件436件544人，适用率95.27%</w:t>
      </w:r>
      <w:r>
        <w:rPr>
          <w:rFonts w:hint="default" w:ascii="Times New Roman" w:hAnsi="Times New Roman" w:eastAsia="仿宋_GB2312" w:cs="Times New Roman"/>
          <w:b w:val="0"/>
          <w:bCs w:val="0"/>
          <w:color w:val="auto"/>
          <w:kern w:val="0"/>
          <w:sz w:val="32"/>
          <w:szCs w:val="32"/>
          <w:shd w:val="clear" w:color="auto" w:fill="auto"/>
          <w:lang w:val="en-US" w:eastAsia="zh-CN" w:bidi="ar"/>
        </w:rPr>
        <w:t>，一审服判率99.3%。</w:t>
      </w:r>
      <w:r>
        <w:rPr>
          <w:rFonts w:hint="default" w:ascii="Times New Roman" w:hAnsi="Times New Roman" w:eastAsia="仿宋_GB2312" w:cs="Times New Roman"/>
          <w:b w:val="0"/>
          <w:bCs w:val="0"/>
          <w:color w:val="auto"/>
          <w:kern w:val="0"/>
          <w:sz w:val="32"/>
          <w:szCs w:val="32"/>
          <w:lang w:val="en-US" w:eastAsia="zh-CN" w:bidi="ar"/>
        </w:rPr>
        <w:t>健全完善12309检察服务中心“一窗受理、内部分办、协同履职”的检察便民服务机制，落实院领导带头接访、包案，对当事人的诉求及时解答、及时回应，办理12件涉法涉诉信访案件，群众信访回复、答复率100%。主动走访了解相关案件线索，办理13件司法救助案件，发放司法救助金17.6万元，切实传递检察温度。</w:t>
      </w:r>
    </w:p>
    <w:p>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为未成年人撑起法治蓝天。</w:t>
      </w:r>
      <w:r>
        <w:rPr>
          <w:rFonts w:hint="default" w:ascii="Times New Roman" w:hAnsi="Times New Roman" w:eastAsia="仿宋_GB2312" w:cs="Times New Roman"/>
          <w:b w:val="0"/>
          <w:bCs w:val="0"/>
          <w:color w:val="auto"/>
          <w:kern w:val="0"/>
          <w:sz w:val="32"/>
          <w:szCs w:val="32"/>
          <w:lang w:val="en-US" w:eastAsia="zh-CN" w:bidi="ar"/>
        </w:rPr>
        <w:t>对性侵未成年人犯罪“零容忍”，提前介入性侵未成年人案件31件，受理性侵未成年人案件37件42人，追捕追诉漏犯9人。落实强制报告制度，通过强制报告发现案件7件8人。就澧县性侵未成年人犯罪情况专项调研并形成报告，获得县委肯定。办理的黄某兵强奸、猥亵儿童案被评为全省优秀案件，澧县检察院被省检察院评为“利剑护蕾”先进集体。对涉罪未成年人坚持教育、感化、挽救方针，对犯罪情节轻微且有悔罪表现的不捕12人、附条件不起诉6人、相对不起诉4人；另一方面坚持宽容不纵容，对犯罪情节严重的，起诉22件33人。办理未成年人检察综合履职行政公益诉讼案件7件并制发检察建议。检警联合开展重点场所专项检查，营造适合未成年</w:t>
      </w:r>
      <w:r>
        <w:rPr>
          <w:rFonts w:hint="eastAsia" w:ascii="Times New Roman" w:hAnsi="Times New Roman" w:eastAsia="仿宋_GB2312" w:cs="Times New Roman"/>
          <w:b w:val="0"/>
          <w:bCs w:val="0"/>
          <w:color w:val="auto"/>
          <w:kern w:val="0"/>
          <w:sz w:val="32"/>
          <w:szCs w:val="32"/>
          <w:lang w:val="en-US" w:eastAsia="zh-CN" w:bidi="ar"/>
        </w:rPr>
        <w:t>人</w:t>
      </w:r>
      <w:r>
        <w:rPr>
          <w:rFonts w:hint="default" w:ascii="Times New Roman" w:hAnsi="Times New Roman" w:eastAsia="仿宋_GB2312" w:cs="Times New Roman"/>
          <w:b w:val="0"/>
          <w:bCs w:val="0"/>
          <w:color w:val="auto"/>
          <w:kern w:val="0"/>
          <w:sz w:val="32"/>
          <w:szCs w:val="32"/>
          <w:lang w:val="en-US" w:eastAsia="zh-CN" w:bidi="ar"/>
        </w:rPr>
        <w:t>成长的安全氛围。针对校园安全问题督导检查10余次,推动学校规范化、法治化建设。推动落实未成年人密切接触行业的入职查询和从业限制制度，共计查询9879人。</w:t>
      </w:r>
    </w:p>
    <w:p>
      <w:pPr>
        <w:pStyle w:val="2"/>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kern w:val="2"/>
          <w:sz w:val="32"/>
          <w:szCs w:val="32"/>
          <w:lang w:val="en-US" w:eastAsia="zh-CN" w:bidi="ar-SA"/>
        </w:rPr>
        <w:t>强化特殊群体权益保护。</w:t>
      </w:r>
      <w:r>
        <w:rPr>
          <w:rFonts w:hint="default" w:ascii="Times New Roman" w:hAnsi="Times New Roman" w:eastAsia="仿宋_GB2312" w:cs="Times New Roman"/>
          <w:b w:val="0"/>
          <w:bCs w:val="0"/>
          <w:color w:val="auto"/>
          <w:kern w:val="0"/>
          <w:sz w:val="32"/>
          <w:szCs w:val="32"/>
          <w:lang w:val="en-US" w:eastAsia="zh-CN" w:bidi="ar"/>
        </w:rPr>
        <w:t>打击强奸、故意伤害等侵犯妇女权益犯罪38件43人，救助困难妇女7人。打击整治养老诈骗等侵犯老年人权益犯罪15件17人。加大无障碍环境建设领域办案力度，针对盲道占用的违法情形，督促县住房和城乡建设局依法履职。积极参与“用心用情</w:t>
      </w:r>
      <w:r>
        <w:rPr>
          <w:rFonts w:hint="eastAsia"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湘薪湘护”根治欠薪冬季专项行动，支持农民工起诉13件，帮助讨薪25万余元，办理拒不支付劳动报酬罪案件2件2人。在办理脱贫监测对象李某某申请支持起诉案时，与县法院沟通协调，成功与用人单位就工资款、补偿金等达成调解协议并履行到位。</w:t>
      </w:r>
    </w:p>
    <w:p>
      <w:pPr>
        <w:pStyle w:val="2"/>
        <w:keepNext w:val="0"/>
        <w:keepLines w:val="0"/>
        <w:pageBreakBefore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黑体" w:cs="Times New Roman"/>
          <w:color w:val="auto"/>
          <w:sz w:val="32"/>
          <w:szCs w:val="32"/>
          <w:lang w:val="en-US" w:eastAsia="zh-CN"/>
        </w:rPr>
        <w:t>三、以为法治担当为价值追求，扛起检察之“责”</w:t>
      </w:r>
    </w:p>
    <w:p>
      <w:pPr>
        <w:pStyle w:val="2"/>
        <w:keepNext w:val="0"/>
        <w:keepLines w:val="0"/>
        <w:pageBreakBefore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pacing w:val="0"/>
          <w:kern w:val="0"/>
          <w:sz w:val="32"/>
          <w:szCs w:val="32"/>
          <w:lang w:val="en-US" w:eastAsia="zh-CN" w:bidi="ar"/>
        </w:rPr>
      </w:pPr>
      <w:r>
        <w:rPr>
          <w:rFonts w:hint="default" w:ascii="Times New Roman" w:hAnsi="Times New Roman" w:eastAsia="仿宋_GB2312" w:cs="Times New Roman"/>
          <w:b w:val="0"/>
          <w:bCs w:val="0"/>
          <w:color w:val="auto"/>
          <w:spacing w:val="0"/>
          <w:kern w:val="0"/>
          <w:sz w:val="32"/>
          <w:szCs w:val="32"/>
          <w:lang w:val="en-US" w:eastAsia="zh-CN" w:bidi="ar"/>
        </w:rPr>
        <w:t>检察之“责”，在于坚持检察履职内在统一于法律监督宪法定位，依法履行职能，敢于监督、善于监督，推动加快建设公正高效权威的社会主义司法制度。</w:t>
      </w:r>
    </w:p>
    <w:p>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spacing w:val="0"/>
          <w:kern w:val="0"/>
          <w:sz w:val="32"/>
          <w:szCs w:val="32"/>
          <w:lang w:val="en-US" w:eastAsia="zh-CN" w:bidi="ar"/>
        </w:rPr>
      </w:pPr>
      <w:r>
        <w:rPr>
          <w:rFonts w:hint="default" w:ascii="楷体_GB2312" w:hAnsi="楷体_GB2312" w:eastAsia="楷体_GB2312" w:cs="楷体_GB2312"/>
          <w:color w:val="auto"/>
          <w:spacing w:val="0"/>
          <w:sz w:val="32"/>
          <w:szCs w:val="32"/>
          <w:lang w:val="en-US" w:eastAsia="zh-CN"/>
        </w:rPr>
        <w:t>以更大力度强化刑事检察。</w:t>
      </w:r>
      <w:r>
        <w:rPr>
          <w:rFonts w:hint="default" w:ascii="Times New Roman" w:hAnsi="Times New Roman" w:eastAsia="仿宋_GB2312" w:cs="Times New Roman"/>
          <w:b w:val="0"/>
          <w:bCs w:val="0"/>
          <w:color w:val="auto"/>
          <w:spacing w:val="0"/>
          <w:kern w:val="0"/>
          <w:sz w:val="32"/>
          <w:szCs w:val="32"/>
          <w:lang w:val="en-US" w:eastAsia="zh-CN" w:bidi="ar"/>
        </w:rPr>
        <w:t>依法监督立案43件，监督撤案3件，纠正漏诉52人，纠正侦查违法情形277次。加强审判监督，提请刑事抗诉2件均得到支持，纠正刑事审判违法情形4次。针对刑罚执行和监管活动严重违法行为，书面提出监督意见21件，采纳率100%。办理暂予监外执行审查案件3件，监督收监执行3人。加强监管场所执法监督，协同保障监管场所安全稳定；利用大数据赋能，助力社区矫正检察监督，开展警示谈话210人次，发出纠正违法通知书5份，防止矫正对象脱管、漏管及重新犯罪。</w:t>
      </w:r>
    </w:p>
    <w:p>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spacing w:val="0"/>
          <w:kern w:val="0"/>
          <w:sz w:val="32"/>
          <w:szCs w:val="32"/>
          <w:lang w:val="en-US" w:eastAsia="zh-CN" w:bidi="ar"/>
        </w:rPr>
      </w:pPr>
      <w:r>
        <w:rPr>
          <w:rFonts w:hint="default" w:ascii="楷体_GB2312" w:hAnsi="楷体_GB2312" w:eastAsia="楷体_GB2312" w:cs="楷体_GB2312"/>
          <w:color w:val="auto"/>
          <w:spacing w:val="0"/>
          <w:sz w:val="32"/>
          <w:szCs w:val="32"/>
          <w:lang w:val="en-US" w:eastAsia="zh-CN"/>
        </w:rPr>
        <w:t>以更高标准做</w:t>
      </w:r>
      <w:r>
        <w:rPr>
          <w:rFonts w:hint="default" w:ascii="楷体_GB2312" w:hAnsi="楷体_GB2312" w:eastAsia="楷体_GB2312" w:cs="楷体_GB2312"/>
          <w:color w:val="auto"/>
          <w:spacing w:val="6"/>
          <w:sz w:val="32"/>
          <w:szCs w:val="32"/>
          <w:lang w:val="en-US" w:eastAsia="zh-CN"/>
        </w:rPr>
        <w:t>好民事检察。</w:t>
      </w:r>
      <w:r>
        <w:rPr>
          <w:rFonts w:hint="default" w:ascii="Times New Roman" w:hAnsi="Times New Roman" w:eastAsia="仿宋_GB2312" w:cs="Times New Roman"/>
          <w:b w:val="0"/>
          <w:bCs w:val="0"/>
          <w:color w:val="auto"/>
          <w:spacing w:val="6"/>
          <w:kern w:val="0"/>
          <w:sz w:val="32"/>
          <w:szCs w:val="32"/>
          <w:lang w:val="en-US" w:eastAsia="zh-CN" w:bidi="ar"/>
        </w:rPr>
        <w:t>从刑事案件中挖掘监督线索，办理涉非法集资刑事犯罪案件的民事生效裁判结果监督案件2件，1件虚假诉讼案经提请抗诉被采纳并改判。推进一体化办案，派员协助市检察院办理的1件民事生效裁判结果监督案件，经提请省检察院向省高级人民法院抗诉得到支持，挽回当事人损失百余万元。监督民事诉讼和执行案件的程序性违法行为，制发检察建议书81份。办理龚某某申请民事执行监督案时，发现法院执行人员存在违纪违法情形，在制发检察建议的同时将线索移送县纪监委，相关人员被作出留党察看一年及政务撤职处分，该案被评为全市民事检察优秀案件。先后运用大数据监督模型办理破产企业执行监督案件1件、失信被执行人监督案件8件</w:t>
      </w:r>
      <w:r>
        <w:rPr>
          <w:rFonts w:hint="default" w:ascii="Times New Roman" w:hAnsi="Times New Roman" w:eastAsia="仿宋_GB2312" w:cs="Times New Roman"/>
          <w:b w:val="0"/>
          <w:bCs w:val="0"/>
          <w:color w:val="auto"/>
          <w:spacing w:val="0"/>
          <w:kern w:val="0"/>
          <w:sz w:val="32"/>
          <w:szCs w:val="32"/>
          <w:lang w:val="en-US" w:eastAsia="zh-CN" w:bidi="ar"/>
        </w:rPr>
        <w:t>。</w:t>
      </w:r>
    </w:p>
    <w:p>
      <w:pPr>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pacing w:val="0"/>
          <w:kern w:val="0"/>
          <w:sz w:val="32"/>
          <w:szCs w:val="32"/>
          <w:lang w:val="en-US" w:eastAsia="zh-CN" w:bidi="ar"/>
        </w:rPr>
      </w:pPr>
      <w:r>
        <w:rPr>
          <w:rFonts w:hint="default" w:ascii="楷体_GB2312" w:hAnsi="楷体_GB2312" w:eastAsia="楷体_GB2312" w:cs="楷体_GB2312"/>
          <w:color w:val="auto"/>
          <w:spacing w:val="0"/>
          <w:sz w:val="32"/>
          <w:szCs w:val="32"/>
          <w:lang w:val="en-US" w:eastAsia="zh-CN"/>
        </w:rPr>
        <w:t>以更宽视角拓展行政检察。</w:t>
      </w:r>
      <w:r>
        <w:rPr>
          <w:rFonts w:hint="default" w:ascii="Times New Roman" w:hAnsi="Times New Roman" w:eastAsia="仿宋_GB2312" w:cs="Times New Roman"/>
          <w:b w:val="0"/>
          <w:bCs w:val="0"/>
          <w:color w:val="auto"/>
          <w:spacing w:val="0"/>
          <w:kern w:val="0"/>
          <w:sz w:val="32"/>
          <w:szCs w:val="32"/>
          <w:lang w:val="en-US" w:eastAsia="zh-CN" w:bidi="ar"/>
        </w:rPr>
        <w:t>监督行政诉讼案件的程序性违法问题，制发检察建议书16份。运用“行政诉讼原告不当承担案件受理费监督模型”，挖掘1件线索并制发检察建议书。全面开展行刑反向衔接工作，对危害民生活动的刑事不起诉案件全面审查，先后向常德市邮政管理局、澧县市场监督管理局等行政机关制发检察意见69份，建议行政机关给予行政处罚91人，已处罚69人。办理的覃某某侵犯注册商标专用权应予行政处罚检察意见案被评为全省行政检察优秀案件。强化冒名和虚假婚姻登记领域行政违法行为监督，向县民政局制发检察建议书6份，督促其撤销婚姻登记，解决历史遗留民生问题，化解行政争议。</w:t>
      </w:r>
    </w:p>
    <w:p>
      <w:pPr>
        <w:pStyle w:val="18"/>
        <w:keepNext w:val="0"/>
        <w:keepLines w:val="0"/>
        <w:pageBreakBefore w:val="0"/>
        <w:kinsoku/>
        <w:wordWrap/>
        <w:overflowPunct/>
        <w:topLinePunct w:val="0"/>
        <w:autoSpaceDE/>
        <w:autoSpaceDN/>
        <w:bidi w:val="0"/>
        <w:adjustRightInd/>
        <w:snapToGrid/>
        <w:spacing w:after="0" w:line="576" w:lineRule="exact"/>
        <w:ind w:left="0" w:leftChars="0" w:firstLine="640" w:firstLineChars="200"/>
        <w:jc w:val="both"/>
        <w:textAlignment w:val="auto"/>
        <w:rPr>
          <w:rFonts w:hint="default" w:ascii="Times New Roman" w:hAnsi="Times New Roman" w:eastAsia="方正仿宋_GB2312" w:cs="Times New Roman"/>
          <w:color w:val="auto"/>
          <w:kern w:val="2"/>
          <w:sz w:val="32"/>
          <w:szCs w:val="32"/>
          <w:lang w:val="en-US" w:eastAsia="zh-CN" w:bidi="ar-SA"/>
        </w:rPr>
      </w:pPr>
      <w:r>
        <w:rPr>
          <w:rFonts w:hint="default" w:ascii="楷体_GB2312" w:hAnsi="楷体_GB2312" w:eastAsia="楷体_GB2312" w:cs="楷体_GB2312"/>
          <w:color w:val="auto"/>
          <w:spacing w:val="0"/>
          <w:kern w:val="2"/>
          <w:sz w:val="32"/>
          <w:szCs w:val="32"/>
          <w:lang w:val="en-US" w:eastAsia="zh-CN" w:bidi="ar-SA"/>
        </w:rPr>
        <w:t>以更强担当推进公益诉讼检察。</w:t>
      </w:r>
      <w:r>
        <w:rPr>
          <w:rFonts w:hint="default" w:ascii="Times New Roman" w:hAnsi="Times New Roman" w:eastAsia="仿宋_GB2312" w:cs="Times New Roman"/>
          <w:b w:val="0"/>
          <w:bCs w:val="0"/>
          <w:color w:val="auto"/>
          <w:spacing w:val="0"/>
          <w:kern w:val="0"/>
          <w:sz w:val="32"/>
          <w:szCs w:val="32"/>
          <w:lang w:val="en-US" w:eastAsia="zh-CN" w:bidi="ar"/>
        </w:rPr>
        <w:t>立案办理各类公益诉讼案件59件，覆盖14个领域。充分发挥审前程序独特功能价值，推动96.8%的公益损害问题在审前解决，以更高效率、更低成本争取最佳司法效果。坚持以可诉性提升精准性和规范性，办理的督促保护国家湿地公园公益林行政公益诉讼案，法院当庭判决支持，该案被省检察院评为公益诉讼典型案例。强化英烈保护和文物保护，针对游端轩纪念设施广场以及两家文物保护单位存在的多处建筑设施破损、陈列展示不规范的情形，立案1件，相关场所已整改恢复。认真排查国有财产流失的风险点，与自然资源、税务等部门加强协作，督促收回欠缴的国有土地使用权出让金64.03万元，收回未依法征缴民间借贷个人所得利息税15.9万元。</w:t>
      </w:r>
    </w:p>
    <w:p>
      <w:pPr>
        <w:pStyle w:val="2"/>
        <w:keepNext w:val="0"/>
        <w:keepLines w:val="0"/>
        <w:pageBreakBefore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四、以强化队伍建设为坚实保障，筑牢检察之“本”</w:t>
      </w: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检察之“本”，在于始终把讲政治作为第一位要求，一体推进激励担当作为与从严管理监督，让求真务实、担当实干成为新时代新征程检察人员的鲜明履职特征。</w:t>
      </w:r>
    </w:p>
    <w:p>
      <w:pPr>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以政治建设凝心铸魂。</w:t>
      </w:r>
      <w:r>
        <w:rPr>
          <w:rFonts w:hint="default" w:ascii="Times New Roman" w:hAnsi="Times New Roman" w:eastAsia="仿宋_GB2312" w:cs="Times New Roman"/>
          <w:b w:val="0"/>
          <w:bCs w:val="0"/>
          <w:color w:val="auto"/>
          <w:kern w:val="0"/>
          <w:sz w:val="32"/>
          <w:szCs w:val="32"/>
          <w:lang w:val="en-US" w:eastAsia="zh-CN" w:bidi="ar"/>
        </w:rPr>
        <w:t>强化理论武装，坚定政治信仰。认真落实“第一议题”制度，深入学习领会习近平新时代中国特色社会主义思想，充分运用党组会、理论学习中心组、三会一课等形式开展集中学习，并利用网络平台开展多样化线上学习，教育引导党员干警学原文、读原著、悟原理，做到学思用贯通、知信行合一。坚持党对检察工作的绝对领导，全面贯彻落实《中国共产党政法工作条例》，严格执行重大事项请示报告制度，主动向县委和市检察院党组请示报告工作3次。强化意识形态工作责任落实，修订《澧县人民检察院意识形态联席会议制度》，召开联席会议分析研判意识形态工作4次，坚持按时向上级报告意识形态工作责任制落实情况，把握好政治方向。</w:t>
      </w:r>
    </w:p>
    <w:p>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以人</w:t>
      </w:r>
      <w:r>
        <w:rPr>
          <w:rFonts w:hint="default" w:ascii="楷体_GB2312" w:hAnsi="楷体_GB2312" w:eastAsia="楷体_GB2312" w:cs="楷体_GB2312"/>
          <w:color w:val="auto"/>
          <w:spacing w:val="6"/>
          <w:sz w:val="32"/>
          <w:szCs w:val="32"/>
          <w:lang w:val="en-US" w:eastAsia="zh-CN"/>
        </w:rPr>
        <w:t>才建设蓄势聚能。</w:t>
      </w:r>
      <w:r>
        <w:rPr>
          <w:rFonts w:hint="default" w:ascii="Times New Roman" w:hAnsi="Times New Roman" w:eastAsia="仿宋_GB2312" w:cs="Times New Roman"/>
          <w:b w:val="0"/>
          <w:bCs w:val="0"/>
          <w:color w:val="auto"/>
          <w:spacing w:val="6"/>
          <w:kern w:val="0"/>
          <w:sz w:val="32"/>
          <w:szCs w:val="32"/>
          <w:lang w:val="en-US" w:eastAsia="zh-CN" w:bidi="ar"/>
        </w:rPr>
        <w:t>提升干警综合能力，推进“导师带新人”、线上线下业务培训等举措，将学习作为每周部门务虚会议的重要内容，一体提升政治能力、专业能力、执法履职能力。组织干警参加中国检察官网络学院培训班9期，共计160人次，参与上级跟班培训、专案办理等，开展接续培训、传学讲学3次。邀请优秀业务骨干开展业务讲座，传授办案经验和方法。切实关心关爱干警，通过举办庆“七一”文艺汇演、趣味运动会等文娱活动，丰富干警精神生活。党组常态化开展谈心谈话，为遇到困难的同志排忧解难，营造人才发展良好环境。注重青年力量培养，开展青年干警座谈会、辩论赛等多形式“青年沙龙”活动，青年干警针对“一取消三不再”等主题畅所欲言、互相学习。推荐青年干警参与各级竞赛活动，将内生活力转化为工作动力，取得良好成绩。澧县检察院获评全市检察工作先进集体，在2024年常德市检察官与律师团体论辩赛中获得“最佳团</w:t>
      </w:r>
      <w:r>
        <w:rPr>
          <w:rFonts w:hint="default" w:ascii="Times New Roman" w:hAnsi="Times New Roman" w:eastAsia="仿宋_GB2312" w:cs="Times New Roman"/>
          <w:b w:val="0"/>
          <w:bCs w:val="0"/>
          <w:color w:val="auto"/>
          <w:kern w:val="0"/>
          <w:sz w:val="32"/>
          <w:szCs w:val="32"/>
          <w:lang w:val="en-US" w:eastAsia="zh-CN" w:bidi="ar"/>
        </w:rPr>
        <w:t>队”。</w:t>
      </w:r>
    </w:p>
    <w:p>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以廉政建设固本培元。</w:t>
      </w:r>
      <w:r>
        <w:rPr>
          <w:rFonts w:hint="default" w:ascii="Times New Roman" w:hAnsi="Times New Roman" w:eastAsia="仿宋_GB2312" w:cs="Times New Roman"/>
          <w:b w:val="0"/>
          <w:bCs w:val="0"/>
          <w:color w:val="auto"/>
          <w:kern w:val="0"/>
          <w:sz w:val="32"/>
          <w:szCs w:val="32"/>
          <w:lang w:val="en-US" w:eastAsia="zh-CN" w:bidi="ar"/>
        </w:rPr>
        <w:t>严格执行“三个规定”，认真执行个人有关事项报告制度，及时报告过问或干预插手检察办案等重大事项记录21件。严明纪律作风管理，从会风会纪和工作规范等日常制度入手，发布纪律督查情况9次，促进干警规范言行。紧抓警示教育不松懈，组织学习各级纪委关于违反中央八项规定精神典型案例通报，召开党风廉政警示教育大会，检察长就警示教育上专题党课，不断提高干警遵章守纪的主动性。自觉接受政治督察，持续深化对检察干警的政治教育，做好巡察“后半篇”文章，专题召开党组会对照问题逐条研究整改措施并明确责任领导和责任部门，形成详细可行的整改方案并整改到位。</w:t>
      </w:r>
    </w:p>
    <w:p>
      <w:pPr>
        <w:keepNext w:val="0"/>
        <w:keepLines w:val="0"/>
        <w:pageBreakBefore w:val="0"/>
        <w:kinsoku/>
        <w:wordWrap/>
        <w:overflowPunct/>
        <w:topLinePunct w:val="0"/>
        <w:autoSpaceDE/>
        <w:autoSpaceDN/>
        <w:bidi w:val="0"/>
        <w:snapToGrid/>
        <w:spacing w:line="576"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五、以接受</w:t>
      </w:r>
      <w:r>
        <w:rPr>
          <w:rFonts w:hint="default" w:ascii="Times New Roman" w:hAnsi="Times New Roman" w:eastAsia="黑体" w:cs="Times New Roman"/>
          <w:color w:val="auto"/>
          <w:sz w:val="32"/>
          <w:szCs w:val="32"/>
          <w:shd w:val="clear" w:color="auto" w:fill="auto"/>
          <w:lang w:val="en-US" w:eastAsia="zh-CN"/>
        </w:rPr>
        <w:t>外部监督</w:t>
      </w:r>
      <w:r>
        <w:rPr>
          <w:rFonts w:hint="default" w:ascii="Times New Roman" w:hAnsi="Times New Roman" w:eastAsia="黑体" w:cs="Times New Roman"/>
          <w:color w:val="auto"/>
          <w:sz w:val="32"/>
          <w:szCs w:val="32"/>
          <w:lang w:val="en-US" w:eastAsia="zh-CN"/>
        </w:rPr>
        <w:t>为自觉行动，汇聚检察之“力”</w:t>
      </w: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检察之“力”，在于强化“对人民负责、受人民监督”的思想自觉和行动自觉，把践行全过程人民民主贯穿检察履职始终，将监督智慧转化为履职力量。</w:t>
      </w:r>
    </w:p>
    <w:p>
      <w:pPr>
        <w:keepNext w:val="0"/>
        <w:keepLines w:val="0"/>
        <w:pageBreakBefore w:val="0"/>
        <w:widowControl/>
        <w:suppressLineNumbers w:val="0"/>
        <w:kinsoku/>
        <w:wordWrap/>
        <w:overflowPunct/>
        <w:topLinePunct w:val="0"/>
        <w:autoSpaceDE/>
        <w:autoSpaceDN/>
        <w:bidi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主动接受人大监督。</w:t>
      </w:r>
      <w:r>
        <w:rPr>
          <w:rFonts w:hint="default" w:ascii="Times New Roman" w:hAnsi="Times New Roman" w:eastAsia="仿宋_GB2312" w:cs="Times New Roman"/>
          <w:b w:val="0"/>
          <w:bCs w:val="0"/>
          <w:color w:val="auto"/>
          <w:kern w:val="0"/>
          <w:sz w:val="32"/>
          <w:szCs w:val="32"/>
          <w:lang w:val="en-US" w:eastAsia="zh-CN" w:bidi="ar"/>
        </w:rPr>
        <w:t>认真落实决议决定、规范性文件备案审查，配合开展专题调研、执法检查等。向县人大常委会专题报告刑事检察、检察建议等工作情况。开展检察官履职评议活动，将评议结果作为职务任免、评先评优、职级晋升的重要依据。制定《澧县人民检察院开展“代表联动话监督”活动方案》，依托该方案全年邀请代表参加各类活动30场56人次，让代表在参与中更好为检察工作发展建言献策。</w:t>
      </w:r>
    </w:p>
    <w:p>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积极接受民主监督。</w:t>
      </w:r>
      <w:r>
        <w:rPr>
          <w:rFonts w:hint="default" w:ascii="Times New Roman" w:hAnsi="Times New Roman" w:eastAsia="仿宋_GB2312" w:cs="Times New Roman"/>
          <w:b w:val="0"/>
          <w:bCs w:val="0"/>
          <w:color w:val="auto"/>
          <w:kern w:val="0"/>
          <w:sz w:val="32"/>
          <w:szCs w:val="32"/>
          <w:lang w:val="en-US" w:eastAsia="zh-CN" w:bidi="ar"/>
        </w:rPr>
        <w:t>进一步增强接受民主监督意识，做好政协委员的日常联络工作。邀请政协委员参加案件评查、听庭评议、公开听证、检察开放日等20场34人次，切实保障政协委员对检察工作的知情权、参与权、表达权和监督权。</w:t>
      </w:r>
    </w:p>
    <w:p>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楷体_GB2312" w:hAnsi="楷体_GB2312" w:eastAsia="楷体_GB2312" w:cs="楷体_GB2312"/>
          <w:color w:val="auto"/>
          <w:sz w:val="32"/>
          <w:szCs w:val="32"/>
          <w:lang w:val="en-US" w:eastAsia="zh-CN"/>
        </w:rPr>
        <w:t>广泛接受社会监督。</w:t>
      </w:r>
      <w:r>
        <w:rPr>
          <w:rFonts w:hint="default" w:ascii="Times New Roman" w:hAnsi="Times New Roman" w:eastAsia="仿宋_GB2312" w:cs="Times New Roman"/>
          <w:b w:val="0"/>
          <w:bCs w:val="0"/>
          <w:color w:val="auto"/>
          <w:kern w:val="0"/>
          <w:sz w:val="32"/>
          <w:szCs w:val="32"/>
          <w:lang w:val="en-US" w:eastAsia="zh-CN" w:bidi="ar"/>
        </w:rPr>
        <w:t>举办“法治守护半边天”“检教同行共护成长”等主题检察开放日，以“民法典”“宪法日”等宣传活动为契机，多次送法进村社，开展“法治进校园”活动31场。讲好检察故事，通过“一网两微一端”发布检察信息及工作动态，编发“澧县检察”公众号41期49篇，110篇稿件被市级以上媒体转发，以视频形式推出三期“澧检小课堂”，让人民群众在检察作品中体会检察担当。邀请人民监督员参与法律文书宣告送达等办案活动54人次。通过12309检察服务中心和2.0业务系统支持律师进行网上阅卷和异地阅卷4次。</w:t>
      </w:r>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各位代表，过去一年澧县检察工作的发展进步，离不开上级检察院和县委的坚强领导，离不开县人大及其常委会的有力监督，离不开县政府的大力支持、县政协的民主监督，更离不开各位代表、各位委员和社会各界的关心与支持。在此，我代表澧县检察院和全体干警表示衷心感谢并致以崇高敬意！</w:t>
      </w:r>
    </w:p>
    <w:p>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回顾一年来的工作，我们更加清醒地认识到，澧县检察工作仍然存在一些困难和短板。</w:t>
      </w:r>
      <w:r>
        <w:rPr>
          <w:rFonts w:hint="default" w:ascii="Times New Roman" w:hAnsi="Times New Roman" w:eastAsia="仿宋_GB2312" w:cs="Times New Roman"/>
          <w:b/>
          <w:bCs/>
          <w:color w:val="auto"/>
          <w:kern w:val="0"/>
          <w:sz w:val="32"/>
          <w:szCs w:val="32"/>
          <w:lang w:val="en-US" w:eastAsia="zh-CN" w:bidi="ar"/>
        </w:rPr>
        <w:t>一是</w:t>
      </w:r>
      <w:r>
        <w:rPr>
          <w:rFonts w:hint="default" w:ascii="Times New Roman" w:hAnsi="Times New Roman" w:eastAsia="仿宋_GB2312" w:cs="Times New Roman"/>
          <w:b w:val="0"/>
          <w:bCs w:val="0"/>
          <w:color w:val="auto"/>
          <w:kern w:val="0"/>
          <w:sz w:val="32"/>
          <w:szCs w:val="32"/>
          <w:lang w:val="en-US" w:eastAsia="zh-CN" w:bidi="ar"/>
        </w:rPr>
        <w:t>职能领域发展不平衡，知识产权综合履职、公益诉讼等外领域立案职能还要深入推进。</w:t>
      </w:r>
      <w:r>
        <w:rPr>
          <w:rFonts w:hint="default" w:ascii="Times New Roman" w:hAnsi="Times New Roman" w:eastAsia="仿宋_GB2312" w:cs="Times New Roman"/>
          <w:b/>
          <w:bCs/>
          <w:color w:val="auto"/>
          <w:kern w:val="0"/>
          <w:sz w:val="32"/>
          <w:szCs w:val="32"/>
          <w:lang w:val="en-US" w:eastAsia="zh-CN" w:bidi="ar"/>
        </w:rPr>
        <w:t>二是</w:t>
      </w:r>
      <w:r>
        <w:rPr>
          <w:rFonts w:hint="default" w:ascii="Times New Roman" w:hAnsi="Times New Roman" w:eastAsia="仿宋_GB2312" w:cs="Times New Roman"/>
          <w:b w:val="0"/>
          <w:bCs w:val="0"/>
          <w:color w:val="auto"/>
          <w:kern w:val="0"/>
          <w:sz w:val="32"/>
          <w:szCs w:val="32"/>
          <w:lang w:val="en-US" w:eastAsia="zh-CN" w:bidi="ar"/>
        </w:rPr>
        <w:t>检察人员素质还需提升，司法理念、素质能力等跟不上检察工作高质量发展需求。</w:t>
      </w:r>
      <w:r>
        <w:rPr>
          <w:rFonts w:hint="default" w:ascii="Times New Roman" w:hAnsi="Times New Roman" w:eastAsia="仿宋_GB2312" w:cs="Times New Roman"/>
          <w:b/>
          <w:bCs/>
          <w:color w:val="auto"/>
          <w:kern w:val="0"/>
          <w:sz w:val="32"/>
          <w:szCs w:val="32"/>
          <w:lang w:val="en-US" w:eastAsia="zh-CN" w:bidi="ar"/>
        </w:rPr>
        <w:t>三是</w:t>
      </w:r>
      <w:r>
        <w:rPr>
          <w:rFonts w:hint="default" w:ascii="Times New Roman" w:hAnsi="Times New Roman" w:eastAsia="仿宋_GB2312" w:cs="Times New Roman"/>
          <w:b w:val="0"/>
          <w:bCs w:val="0"/>
          <w:color w:val="auto"/>
          <w:kern w:val="0"/>
          <w:sz w:val="32"/>
          <w:szCs w:val="32"/>
          <w:lang w:val="en-US" w:eastAsia="zh-CN" w:bidi="ar"/>
        </w:rPr>
        <w:t>信息共享机制不健全，运用大数据等辅助办案做得还不够，执法司法单位之间信息壁垒依然存在。对于这些问题，我们将紧盯不放，努力加以解决。</w:t>
      </w:r>
    </w:p>
    <w:p>
      <w:pPr>
        <w:keepNext w:val="0"/>
        <w:keepLines w:val="0"/>
        <w:pageBreakBefore w:val="0"/>
        <w:kinsoku/>
        <w:wordWrap/>
        <w:overflowPunct/>
        <w:topLinePunct w:val="0"/>
        <w:autoSpaceDE/>
        <w:autoSpaceDN/>
        <w:bidi w:val="0"/>
        <w:adjustRightInd/>
        <w:snapToGrid/>
        <w:spacing w:line="576"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202</w:t>
      </w:r>
      <w:r>
        <w:rPr>
          <w:rFonts w:hint="default" w:ascii="Times New Roman" w:hAnsi="Times New Roman" w:eastAsia="黑体" w:cs="Times New Roman"/>
          <w:color w:val="auto"/>
          <w:sz w:val="32"/>
          <w:szCs w:val="32"/>
          <w:lang w:val="en-US" w:eastAsia="zh-CN"/>
        </w:rPr>
        <w:t>5</w:t>
      </w:r>
      <w:r>
        <w:rPr>
          <w:rFonts w:hint="default" w:ascii="Times New Roman" w:hAnsi="Times New Roman" w:eastAsia="黑体" w:cs="Times New Roman"/>
          <w:color w:val="auto"/>
          <w:sz w:val="32"/>
          <w:szCs w:val="32"/>
        </w:rPr>
        <w:t>年工作安排</w:t>
      </w:r>
    </w:p>
    <w:p>
      <w:pPr>
        <w:pStyle w:val="2"/>
        <w:keepNext w:val="0"/>
        <w:keepLines w:val="0"/>
        <w:pageBreakBefore w:val="0"/>
        <w:kinsoku/>
        <w:wordWrap/>
        <w:overflowPunct/>
        <w:topLinePunct w:val="0"/>
        <w:autoSpaceDE/>
        <w:autoSpaceDN/>
        <w:bidi w:val="0"/>
        <w:snapToGrid/>
        <w:spacing w:line="576" w:lineRule="exact"/>
        <w:textAlignment w:val="auto"/>
        <w:rPr>
          <w:rFonts w:hint="default"/>
          <w:color w:val="auto"/>
        </w:rPr>
      </w:pP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 xml:space="preserve"> 20</w:t>
      </w:r>
      <w:r>
        <w:rPr>
          <w:rFonts w:hint="default" w:ascii="Times New Roman" w:hAnsi="Times New Roman" w:eastAsia="仿宋_GB2312" w:cs="Times New Roman"/>
          <w:b w:val="0"/>
          <w:bCs w:val="0"/>
          <w:color w:val="auto"/>
          <w:spacing w:val="-6"/>
          <w:kern w:val="0"/>
          <w:sz w:val="32"/>
          <w:szCs w:val="32"/>
          <w:lang w:val="en-US" w:eastAsia="zh-CN" w:bidi="ar"/>
        </w:rPr>
        <w:t>25年，澧县检察院将坚持以习近平新时代中国特色社会主义思想为指导，深入贯彻习近平法治思想，聚焦强化法律监督主责主业，突出“高质效办好每一个案件”，持续在守正创新、巩固深化、完善提升上下功夫，落实最高检《关于全面深化检察改革、进一步加强新时代检察工作的意见》，在法治轨道上深化检察改革，以实干担当和实绩实效推进检察工作高质量发展</w:t>
      </w:r>
      <w:r>
        <w:rPr>
          <w:rFonts w:hint="default" w:ascii="Times New Roman" w:hAnsi="Times New Roman" w:eastAsia="仿宋_GB2312" w:cs="Times New Roman"/>
          <w:b w:val="0"/>
          <w:bCs w:val="0"/>
          <w:color w:val="auto"/>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一、聚焦“忠诚”再发力，维护党的领导核心更加坚定</w:t>
      </w: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始终把政治建设摆在首位，坚持党对检察工作的绝对领导，持续擦亮坚定拥护“两个确立”、坚决做到“两个维护”的鲜明政治底色。持续加强党的创新理论武装，健全以学铸魂、以学增智、以学正风、以学促干长效机制。坚持党建引领、业务赋能，以党建带队伍促业务，教育引导全体干警把“从政治上看”落实到检察履职全过程各环节，把检察工作与经济发展大局紧密结合，以高质量的检察工作助力高质量的经济社会发展，把坚持人民至上的执法理念贯彻办案的始终，厚植党的执政根基。深入开展调查研究，提高发现问题解决问题的能力，为推动检察工作现代化打下坚实基础。坚持守正创新，坚定中国特色社会主义检察制度自信，全面深化和落实司法体制改革。</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聚焦“实效”再发力，护航全县中心大局更加精细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一以贯之坚定“努力让人民群众在每一个司法案件中感受到公平正义”的目标。深入推进扫黑除恶常态化机制，一体推进扫黑除恶与“破网打伞”。切实履行查办司法工作人员相关职务犯罪职责，严肃惩治司法腐败。牢记法治是最好的营商环境，充分履行检察职能，持续加强高新技术、新兴产业、科技创新等领域知识产权司法保护。严厉打击恐爆枪、黄赌毒、盗抢骗等危害国家安全、公共安全和人民财产安全的刑事犯罪，依法快速办理相关案件，妥善处理金融犯罪、电信网络诈骗等涉众型犯罪案件。协同完善公共安全治理机制，依法加大对危害生产安全犯罪、食品药品安全领域犯罪防治力度。依法切实解决好群众身边的生态环境问题，展现公益诉讼新作为。坚持和发展新时代“枫桥经验”，抓前端、治未病，将普法宣传、司法救助、基层矛盾纠纷多元预防化解工作融合推进，加强检察环节预防和化解社会矛盾工作，及时回应社会关注关切，保障人民安居乐业、社会安定有序。持续提升社会治理检察建议办理质效，助推基层社会治理现代化。</w:t>
      </w:r>
    </w:p>
    <w:p>
      <w:pPr>
        <w:pStyle w:val="2"/>
        <w:keepNext w:val="0"/>
        <w:keepLines w:val="0"/>
        <w:pageBreakBefore w:val="0"/>
        <w:widowControl w:val="0"/>
        <w:numPr>
          <w:ilvl w:val="0"/>
          <w:numId w:val="0"/>
        </w:numPr>
        <w:kinsoku/>
        <w:wordWrap/>
        <w:overflowPunct/>
        <w:topLinePunct w:val="0"/>
        <w:autoSpaceDE/>
        <w:autoSpaceDN/>
        <w:bidi w:val="0"/>
        <w:snapToGrid/>
        <w:spacing w:line="576" w:lineRule="exact"/>
        <w:ind w:firstLine="640" w:firstLineChars="200"/>
        <w:textAlignment w:val="auto"/>
        <w:rPr>
          <w:rFonts w:hint="default" w:ascii="Times New Roman" w:hAnsi="Times New Roman" w:cs="Times New Roman"/>
          <w:color w:val="auto"/>
        </w:rPr>
      </w:pPr>
      <w:r>
        <w:rPr>
          <w:rFonts w:hint="default" w:ascii="Times New Roman" w:hAnsi="Times New Roman" w:eastAsia="黑体" w:cs="Times New Roman"/>
          <w:color w:val="auto"/>
          <w:sz w:val="32"/>
          <w:szCs w:val="32"/>
          <w:lang w:val="en-US" w:eastAsia="zh-CN"/>
        </w:rPr>
        <w:t>三、聚焦“品质”再发力，推动法律监督工作更加高效</w:t>
      </w:r>
    </w:p>
    <w:p>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努力以个案高质效促进法律监督整体高质效，不断优化“案前类案提醒、案中全程监管、案后科学评查”的检察办案全链条防错纠错机制，完善案件质量定期自查，配合开展逐级评查、重点抽查等机制，把高质效办案的实体、程序、效果要求落到实处，不断强化对评查结果的运用。找准问题症结，坚持以查促改，促进准确规范，用好“三个管理”，将“管案”与“管人”相结合，积极推动评查结果在司法责任制落实上的衔接运用。深化探索运用“四大检察”的履职结构比，推动检察职能全面协调充分发展。健全刑事诉讼全流程监督机制，依法监督纠正非法取证、违法适用强制措施等侦查活动违法行为，优化完善侦查监督平台。精准开展民事诉讼监督，推进个案监督与类案监督相结合，注重发现和纠正深层次违法问题。完善行政诉讼监督机制，协同人民法院、行政机关依法规范推进行政争议实质性化解。聚焦“公益保护”，依法规范办理案件，加强检察建议与提起诉讼有机衔接。推进数字检察建设，以信息技术提升办案效率,把检察官从相对简单、繁杂、重复的劳动中解脱出来,让检察官有更充裕的时间和精力把检察智慧用在法律监督的提质增效上。</w:t>
      </w: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cs="Times New Roman"/>
          <w:color w:val="auto"/>
        </w:rPr>
      </w:pPr>
      <w:r>
        <w:rPr>
          <w:rFonts w:hint="default" w:ascii="Times New Roman" w:hAnsi="Times New Roman" w:eastAsia="黑体" w:cs="Times New Roman"/>
          <w:color w:val="auto"/>
          <w:sz w:val="32"/>
          <w:szCs w:val="32"/>
          <w:lang w:val="en-US" w:eastAsia="zh-CN"/>
        </w:rPr>
        <w:t>四、聚焦“素能”再发力，确保事业发展根基更加稳固</w:t>
      </w: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坚决落实</w:t>
      </w:r>
      <w:r>
        <w:rPr>
          <w:rFonts w:hint="eastAsia" w:ascii="Times New Roman" w:hAnsi="Times New Roman" w:eastAsia="仿宋_GB2312" w:cs="Times New Roman"/>
          <w:b w:val="0"/>
          <w:bCs w:val="0"/>
          <w:color w:val="auto"/>
          <w:kern w:val="0"/>
          <w:sz w:val="32"/>
          <w:szCs w:val="32"/>
          <w:lang w:val="en-US" w:eastAsia="zh-CN" w:bidi="ar"/>
        </w:rPr>
        <w:t>全面</w:t>
      </w:r>
      <w:bookmarkStart w:id="0" w:name="_GoBack"/>
      <w:bookmarkEnd w:id="0"/>
      <w:r>
        <w:rPr>
          <w:rFonts w:hint="default" w:ascii="Times New Roman" w:hAnsi="Times New Roman" w:eastAsia="仿宋_GB2312" w:cs="Times New Roman"/>
          <w:b w:val="0"/>
          <w:bCs w:val="0"/>
          <w:color w:val="auto"/>
          <w:kern w:val="0"/>
          <w:sz w:val="32"/>
          <w:szCs w:val="32"/>
          <w:lang w:val="en-US" w:eastAsia="zh-CN" w:bidi="ar"/>
        </w:rPr>
        <w:t>从严治党从严治检要求，压实“两个责任”，以深入贯彻中央八项规定精神学习教育为契机，坚持对违纪违法问题严字当头、全面从严、一严到底。完善检察权运行制约监督机制，严格执行新时代政法干警“十个严禁”、重大事项请示报告、防止干预司法“三个规定”等制度。继续从严进行日常管理，落实党风廉政教育，坚决守住底线、不越红线。大力开展政治理论和业务知识培训、“青年沙龙”等活动，不断向内挖掘潜力。加强年轻干部培养，多给年轻干警开方子、压担子、搭台子、给位子，让其快速成长。坚持以专业能力建设为关键，着力提升干警思想境界、办案水平、综合素能，强化实干实绩、有为有位的正向激励，增强干事创业的信心和决心，提升检察机关战斗力。持续加强检察宣传文化工作，大力弘扬“忠诚、为民、担当、公正、廉洁”的新时代检察精神。</w:t>
      </w:r>
    </w:p>
    <w:p>
      <w:pPr>
        <w:keepNext w:val="0"/>
        <w:keepLines w:val="0"/>
        <w:pageBreakBefore w:val="0"/>
        <w:widowControl/>
        <w:kinsoku/>
        <w:wordWrap/>
        <w:overflowPunct/>
        <w:topLinePunct w:val="0"/>
        <w:autoSpaceDE/>
        <w:autoSpaceDN/>
        <w:bidi w:val="0"/>
        <w:adjustRightInd w:val="0"/>
        <w:snapToGrid/>
        <w:spacing w:line="576" w:lineRule="exact"/>
        <w:ind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大道至简，实干为要。各位代表，新的一年里，澧县检察院将在县委和上级检察机关的坚强领导下，认真落实本次会议决议，以加强检察机关法律监督为主题，以强力推进检察工作现代化为主线，恪尽职守，锐意进取，践行“六新”要求、奋力走在前列，为推动澧县高质量发展再上新台阶贡献检察力量！</w:t>
      </w:r>
    </w:p>
    <w:p>
      <w:pPr>
        <w:keepNext w:val="0"/>
        <w:keepLines w:val="0"/>
        <w:pageBreakBefore w:val="0"/>
        <w:widowControl/>
        <w:suppressLineNumbers w:val="0"/>
        <w:kinsoku/>
        <w:wordWrap/>
        <w:overflowPunct/>
        <w:topLinePunct w:val="0"/>
        <w:autoSpaceDE/>
        <w:autoSpaceDN/>
        <w:bidi w:val="0"/>
        <w:spacing w:line="576" w:lineRule="exact"/>
        <w:jc w:val="left"/>
        <w:textAlignment w:val="auto"/>
        <w:rPr>
          <w:rFonts w:hint="default" w:ascii="Times New Roman" w:hAnsi="Times New Roman" w:eastAsia="仿宋_GB2312" w:cs="Times New Roman"/>
          <w:b w:val="0"/>
          <w:bCs w:val="0"/>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黑体" w:cs="Times New Roman"/>
          <w:b w:val="0"/>
          <w:bCs w:val="0"/>
          <w:color w:val="auto"/>
          <w:sz w:val="32"/>
          <w:szCs w:val="32"/>
        </w:rPr>
      </w:pPr>
    </w:p>
    <w:p>
      <w:pPr>
        <w:keepNext w:val="0"/>
        <w:keepLines w:val="0"/>
        <w:pageBreakBefore w:val="0"/>
        <w:kinsoku/>
        <w:wordWrap/>
        <w:overflowPunct/>
        <w:topLinePunct w:val="0"/>
        <w:autoSpaceDE/>
        <w:autoSpaceDN/>
        <w:bidi w:val="0"/>
        <w:spacing w:line="576" w:lineRule="exact"/>
        <w:textAlignment w:val="auto"/>
        <w:rPr>
          <w:rFonts w:hint="default"/>
          <w:color w:val="auto"/>
        </w:rPr>
      </w:pPr>
    </w:p>
    <w:p>
      <w:pPr>
        <w:pStyle w:val="2"/>
        <w:keepNext w:val="0"/>
        <w:keepLines w:val="0"/>
        <w:pageBreakBefore w:val="0"/>
        <w:kinsoku/>
        <w:wordWrap/>
        <w:overflowPunct/>
        <w:topLinePunct w:val="0"/>
        <w:autoSpaceDE/>
        <w:autoSpaceDN/>
        <w:bidi w:val="0"/>
        <w:spacing w:line="576" w:lineRule="exact"/>
        <w:textAlignment w:val="auto"/>
        <w:rPr>
          <w:rFonts w:hint="default"/>
          <w:color w:val="auto"/>
        </w:rPr>
      </w:pPr>
    </w:p>
    <w:p>
      <w:pPr>
        <w:keepNext w:val="0"/>
        <w:keepLines w:val="0"/>
        <w:pageBreakBefore w:val="0"/>
        <w:kinsoku/>
        <w:wordWrap/>
        <w:overflowPunct/>
        <w:topLinePunct w:val="0"/>
        <w:autoSpaceDE/>
        <w:autoSpaceDN/>
        <w:bidi w:val="0"/>
        <w:spacing w:line="576" w:lineRule="exact"/>
        <w:textAlignment w:val="auto"/>
        <w:rPr>
          <w:rFonts w:hint="default"/>
          <w:color w:val="auto"/>
        </w:rPr>
      </w:pPr>
    </w:p>
    <w:p>
      <w:pPr>
        <w:pStyle w:val="2"/>
        <w:keepNext w:val="0"/>
        <w:keepLines w:val="0"/>
        <w:pageBreakBefore w:val="0"/>
        <w:kinsoku/>
        <w:wordWrap/>
        <w:overflowPunct/>
        <w:topLinePunct w:val="0"/>
        <w:autoSpaceDE/>
        <w:autoSpaceDN/>
        <w:bidi w:val="0"/>
        <w:spacing w:line="576" w:lineRule="exact"/>
        <w:textAlignment w:val="auto"/>
        <w:rPr>
          <w:rFonts w:hint="default"/>
          <w:color w:val="auto"/>
        </w:rPr>
      </w:pPr>
    </w:p>
    <w:p>
      <w:pPr>
        <w:keepNext w:val="0"/>
        <w:keepLines w:val="0"/>
        <w:pageBreakBefore w:val="0"/>
        <w:kinsoku/>
        <w:wordWrap/>
        <w:overflowPunct/>
        <w:topLinePunct w:val="0"/>
        <w:autoSpaceDE/>
        <w:autoSpaceDN/>
        <w:bidi w:val="0"/>
        <w:spacing w:line="576" w:lineRule="exact"/>
        <w:textAlignment w:val="auto"/>
        <w:rPr>
          <w:rFonts w:hint="default"/>
          <w:color w:val="auto"/>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p>
    <w:p>
      <w:pPr>
        <w:keepNext w:val="0"/>
        <w:keepLines w:val="0"/>
        <w:pageBreakBefore w:val="0"/>
        <w:widowControl w:val="0"/>
        <w:kinsoku/>
        <w:wordWrap/>
        <w:overflowPunct/>
        <w:topLinePunct w:val="0"/>
        <w:autoSpaceDE/>
        <w:autoSpaceDN/>
        <w:bidi w:val="0"/>
        <w:adjustRightInd w:val="0"/>
        <w:snapToGrid/>
        <w:spacing w:line="576" w:lineRule="exact"/>
        <w:jc w:val="both"/>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附件1</w:t>
      </w:r>
    </w:p>
    <w:p>
      <w:pPr>
        <w:pStyle w:val="7"/>
        <w:keepNext w:val="0"/>
        <w:keepLines w:val="0"/>
        <w:pageBreakBefore w:val="0"/>
        <w:kinsoku/>
        <w:wordWrap/>
        <w:overflowPunct/>
        <w:topLinePunct w:val="0"/>
        <w:autoSpaceDE/>
        <w:autoSpaceDN/>
        <w:bidi w:val="0"/>
        <w:spacing w:line="576" w:lineRule="exact"/>
        <w:ind w:firstLine="31680"/>
        <w:textAlignment w:val="auto"/>
        <w:rPr>
          <w:rFonts w:hint="default" w:ascii="Times New Roman" w:hAnsi="Times New Roman" w:cs="Times New Roman"/>
          <w:color w:val="auto"/>
        </w:rPr>
      </w:pPr>
    </w:p>
    <w:p>
      <w:pPr>
        <w:keepNext w:val="0"/>
        <w:keepLines w:val="0"/>
        <w:pageBreakBefore w:val="0"/>
        <w:kinsoku/>
        <w:wordWrap/>
        <w:overflowPunct/>
        <w:topLinePunct w:val="0"/>
        <w:autoSpaceDE/>
        <w:autoSpaceDN/>
        <w:bidi w:val="0"/>
        <w:snapToGrid w:val="0"/>
        <w:spacing w:line="576"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pacing w:val="40"/>
          <w:sz w:val="44"/>
          <w:szCs w:val="44"/>
        </w:rPr>
        <w:t>有关用语说</w:t>
      </w:r>
      <w:r>
        <w:rPr>
          <w:rFonts w:hint="default" w:ascii="Times New Roman" w:hAnsi="Times New Roman" w:eastAsia="方正小标宋简体" w:cs="Times New Roman"/>
          <w:color w:val="auto"/>
          <w:sz w:val="44"/>
          <w:szCs w:val="44"/>
        </w:rPr>
        <w:t>明</w:t>
      </w: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b/>
          <w:bCs/>
          <w:color w:val="auto"/>
          <w:kern w:val="2"/>
          <w:sz w:val="32"/>
          <w:szCs w:val="32"/>
          <w:lang w:val="en-US" w:eastAsia="zh-CN" w:bidi="ar-SA"/>
        </w:rPr>
      </w:pP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“两抢一盗”案件</w:t>
      </w: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页第</w:t>
      </w:r>
      <w:r>
        <w:rPr>
          <w:rFonts w:hint="default" w:ascii="Times New Roman" w:hAnsi="Times New Roman" w:eastAsia="仿宋_GB2312" w:cs="Times New Roman"/>
          <w:b/>
          <w:bCs/>
          <w:color w:val="auto"/>
          <w:sz w:val="32"/>
          <w:szCs w:val="32"/>
          <w:lang w:val="en-US" w:eastAsia="zh-CN"/>
        </w:rPr>
        <w:t>8</w:t>
      </w:r>
      <w:r>
        <w:rPr>
          <w:rFonts w:hint="default" w:ascii="Times New Roman" w:hAnsi="Times New Roman" w:eastAsia="仿宋_GB2312" w:cs="Times New Roman"/>
          <w:b/>
          <w:bCs/>
          <w:color w:val="auto"/>
          <w:sz w:val="32"/>
          <w:szCs w:val="32"/>
        </w:rPr>
        <w:t>行）</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val="0"/>
          <w:bCs w:val="0"/>
          <w:color w:val="auto"/>
          <w:kern w:val="2"/>
          <w:sz w:val="32"/>
          <w:szCs w:val="32"/>
          <w:lang w:val="en-US" w:eastAsia="zh-CN" w:bidi="ar-SA"/>
        </w:rPr>
        <w:t>是指抢劫、抢夺、盗窃案件，作为多发性的侵犯财产犯罪，严重危害着社会的和谐稳定和人民群众的生命财产安全，一直以来都是司法机关打击的重点。</w:t>
      </w:r>
    </w:p>
    <w:p>
      <w:pPr>
        <w:keepNext w:val="0"/>
        <w:keepLines w:val="0"/>
        <w:pageBreakBefore w:val="0"/>
        <w:kinsoku/>
        <w:wordWrap/>
        <w:overflowPunct/>
        <w:topLinePunct w:val="0"/>
        <w:autoSpaceDE/>
        <w:autoSpaceDN/>
        <w:bidi w:val="0"/>
        <w:spacing w:line="576" w:lineRule="exact"/>
        <w:ind w:firstLine="642"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涉“两卡”犯罪</w:t>
      </w: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页第</w:t>
      </w:r>
      <w:r>
        <w:rPr>
          <w:rFonts w:hint="default" w:ascii="Times New Roman" w:hAnsi="Times New Roman" w:eastAsia="仿宋_GB2312" w:cs="Times New Roman"/>
          <w:b/>
          <w:bCs/>
          <w:color w:val="auto"/>
          <w:sz w:val="32"/>
          <w:szCs w:val="32"/>
          <w:lang w:val="en-US" w:eastAsia="zh-CN"/>
        </w:rPr>
        <w:t>10</w:t>
      </w:r>
      <w:r>
        <w:rPr>
          <w:rFonts w:hint="default" w:ascii="Times New Roman" w:hAnsi="Times New Roman" w:eastAsia="仿宋_GB2312" w:cs="Times New Roman"/>
          <w:b/>
          <w:bCs/>
          <w:color w:val="auto"/>
          <w:sz w:val="32"/>
          <w:szCs w:val="32"/>
        </w:rPr>
        <w:t>行）</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val="0"/>
          <w:bCs w:val="0"/>
          <w:color w:val="auto"/>
          <w:kern w:val="2"/>
          <w:sz w:val="32"/>
          <w:szCs w:val="32"/>
          <w:lang w:val="en-US" w:eastAsia="zh-CN" w:bidi="ar-SA"/>
        </w:rPr>
        <w:t>是指非法出租、出售、购买手机卡、银行卡（包括个人银行卡、对公账户、结算卡，以及非银行支付机构账户如微信、支付宝等）用于犯罪活动或者被他人用于犯罪，情节严重的行为。《反电信网络诈骗法》第三十八条组织、策划、实施、参与电信网络诈骗活动或者为电信网络诈骗活动提供帮助，构成犯罪的，依法追究刑事责任。</w:t>
      </w: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法治化营商环境（第2页第15行）：</w:t>
      </w:r>
      <w:r>
        <w:rPr>
          <w:rFonts w:hint="default" w:ascii="Times New Roman" w:hAnsi="Times New Roman" w:eastAsia="仿宋_GB2312" w:cs="Times New Roman"/>
          <w:b w:val="0"/>
          <w:bCs w:val="0"/>
          <w:color w:val="auto"/>
          <w:kern w:val="2"/>
          <w:sz w:val="32"/>
          <w:szCs w:val="32"/>
          <w:lang w:val="en-US" w:eastAsia="zh-CN" w:bidi="ar-SA"/>
        </w:rPr>
        <w:t>习近平总书记在中央全面依法治国委员会第二次会议上提出“法治是最好的营商环境”这一深刻的论断，为我国构建什么样的营商环境、如何构建营商环境提供了重要遵循。法治化营商环境是指在市场经济条件下，通过法律制度的规范和引导，为市场主体提供公平、公正、透明的营商环境。它包括市场准入、产权保护、合同履行、公平竞争、知识产权保护等方面内容。法治化营商环境的核心是保护企业的合法权益，促进市场公平竞争，推动经济发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76" w:lineRule="exact"/>
        <w:ind w:left="0" w:right="0" w:firstLine="642" w:firstLineChars="200"/>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羁押必要性审查（第2页第19行）：</w:t>
      </w:r>
      <w:r>
        <w:rPr>
          <w:rFonts w:hint="default" w:ascii="Times New Roman" w:hAnsi="Times New Roman" w:eastAsia="仿宋_GB2312" w:cs="Times New Roman"/>
          <w:b w:val="0"/>
          <w:bCs w:val="0"/>
          <w:color w:val="auto"/>
          <w:kern w:val="2"/>
          <w:sz w:val="32"/>
          <w:szCs w:val="32"/>
          <w:lang w:val="en-US" w:eastAsia="zh-CN" w:bidi="ar-SA"/>
        </w:rPr>
        <w:t>是指人民检察院依据《中华人民共和国刑事诉讼法》第九十五条规定，对被逮捕的犯罪嫌疑人、被告人有无继续羁押的必要性进行审查，对不需要继续羁押的，建议办案机关予以释放或者变更强制措施的监督活动。羁押必要性审查制度的目的是保障人权，防止超期羁押和不必要的羁押，尽量减少羁押，大幅度降低羁押率。</w:t>
      </w: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“检察护企”专项行动（第2页第21行）：</w:t>
      </w:r>
      <w:r>
        <w:rPr>
          <w:rFonts w:hint="default" w:ascii="Times New Roman" w:hAnsi="Times New Roman" w:eastAsia="仿宋_GB2312" w:cs="Times New Roman"/>
          <w:b w:val="0"/>
          <w:bCs w:val="0"/>
          <w:color w:val="auto"/>
          <w:kern w:val="2"/>
          <w:sz w:val="32"/>
          <w:szCs w:val="32"/>
          <w:lang w:val="en-US" w:eastAsia="zh-CN" w:bidi="ar-SA"/>
        </w:rPr>
        <w:t>最高检印发《“检察护企”专项行动工作方案》，决定自2024年2月至12月开展“检察护企”专项行动。此次专项行动主要有14项重点工作举措，包括严惩破坏公平竞争领域犯罪、严惩民营企业内部腐败犯罪、开展“空壳公司”专项打击治理、加大控告申诉案件办理力度、加强对民营企业的产权保护、深化知识产权检察综合履职等方面。</w:t>
      </w: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生态环境损害赔偿金（第3页第14行）：</w:t>
      </w:r>
      <w:r>
        <w:rPr>
          <w:rFonts w:hint="default" w:ascii="Times New Roman" w:hAnsi="Times New Roman" w:eastAsia="仿宋_GB2312" w:cs="Times New Roman"/>
          <w:b w:val="0"/>
          <w:bCs w:val="0"/>
          <w:color w:val="auto"/>
          <w:kern w:val="2"/>
          <w:sz w:val="32"/>
          <w:szCs w:val="32"/>
          <w:lang w:val="en-US" w:eastAsia="zh-CN" w:bidi="ar-SA"/>
        </w:rPr>
        <w:t>是指生态环境损害事件发生后，在生态环境损害无法修复或者无法完全修复以及赔偿义务人不履行义务或者不完全履行义务的情况下，由造成损害的赔偿义务人主动缴纳或者按照磋商达成的赔偿协议、法院生效法律文书确定缴纳的资金。</w:t>
      </w:r>
    </w:p>
    <w:p>
      <w:pPr>
        <w:keepNext w:val="0"/>
        <w:keepLines w:val="0"/>
        <w:pageBreakBefore w:val="0"/>
        <w:kinsoku/>
        <w:wordWrap/>
        <w:overflowPunct/>
        <w:topLinePunct w:val="0"/>
        <w:autoSpaceDE/>
        <w:autoSpaceDN/>
        <w:bidi w:val="0"/>
        <w:spacing w:line="576" w:lineRule="exact"/>
        <w:ind w:firstLine="642"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kern w:val="2"/>
          <w:sz w:val="32"/>
          <w:szCs w:val="32"/>
          <w:lang w:val="en-US" w:eastAsia="zh-CN" w:bidi="ar-SA"/>
        </w:rPr>
        <w:t>行刑反向衔接（第3页第1</w:t>
      </w:r>
      <w:r>
        <w:rPr>
          <w:rFonts w:hint="eastAsia" w:ascii="Times New Roman" w:hAnsi="Times New Roman" w:eastAsia="仿宋_GB2312" w:cs="Times New Roman"/>
          <w:b/>
          <w:bCs/>
          <w:color w:val="auto"/>
          <w:kern w:val="2"/>
          <w:sz w:val="32"/>
          <w:szCs w:val="32"/>
          <w:lang w:val="en-US" w:eastAsia="zh-CN" w:bidi="ar-SA"/>
        </w:rPr>
        <w:t>7</w:t>
      </w:r>
      <w:r>
        <w:rPr>
          <w:rFonts w:hint="default" w:ascii="Times New Roman" w:hAnsi="Times New Roman" w:eastAsia="仿宋_GB2312" w:cs="Times New Roman"/>
          <w:b/>
          <w:bCs/>
          <w:color w:val="auto"/>
          <w:kern w:val="2"/>
          <w:sz w:val="32"/>
          <w:szCs w:val="32"/>
          <w:lang w:val="en-US" w:eastAsia="zh-CN" w:bidi="ar-SA"/>
        </w:rPr>
        <w:t>行）：</w:t>
      </w:r>
      <w:r>
        <w:rPr>
          <w:rFonts w:hint="default" w:ascii="Times New Roman" w:hAnsi="Times New Roman" w:eastAsia="仿宋_GB2312" w:cs="Times New Roman"/>
          <w:b w:val="0"/>
          <w:bCs w:val="0"/>
          <w:color w:val="auto"/>
          <w:kern w:val="2"/>
          <w:sz w:val="32"/>
          <w:szCs w:val="32"/>
          <w:lang w:val="en-US" w:eastAsia="zh-CN" w:bidi="ar-SA"/>
        </w:rPr>
        <w:t>是指人民检察院对决定不起诉的案件，经审查认为需要给予被不起诉人行政处罚的，及时提出检察意见，移送有关行政主管机关，并对案件处理情况进行跟踪督促。</w:t>
      </w:r>
    </w:p>
    <w:p>
      <w:pPr>
        <w:pStyle w:val="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rPr>
      </w:pPr>
      <w:r>
        <w:rPr>
          <w:rFonts w:hint="default" w:ascii="Times New Roman" w:hAnsi="Times New Roman" w:eastAsia="仿宋_GB2312" w:cs="Times New Roman"/>
          <w:b/>
          <w:bCs/>
          <w:color w:val="auto"/>
          <w:sz w:val="32"/>
          <w:szCs w:val="32"/>
          <w:lang w:eastAsia="zh-CN"/>
        </w:rPr>
        <w:t>宽严相济刑事政策</w:t>
      </w: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页第</w:t>
      </w:r>
      <w:r>
        <w:rPr>
          <w:rFonts w:hint="default" w:ascii="Times New Roman" w:hAnsi="Times New Roman" w:eastAsia="仿宋_GB2312" w:cs="Times New Roman"/>
          <w:b/>
          <w:bCs/>
          <w:color w:val="auto"/>
          <w:sz w:val="32"/>
          <w:szCs w:val="32"/>
          <w:lang w:val="en-US" w:eastAsia="zh-CN"/>
        </w:rPr>
        <w:t>21</w:t>
      </w:r>
      <w:r>
        <w:rPr>
          <w:rFonts w:hint="default" w:ascii="Times New Roman" w:hAnsi="Times New Roman" w:eastAsia="仿宋_GB2312" w:cs="Times New Roman"/>
          <w:b/>
          <w:bCs/>
          <w:color w:val="auto"/>
          <w:sz w:val="32"/>
          <w:szCs w:val="32"/>
        </w:rPr>
        <w:t>行）</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val="0"/>
          <w:bCs w:val="0"/>
          <w:color w:val="auto"/>
          <w:sz w:val="32"/>
          <w:szCs w:val="32"/>
          <w:lang w:eastAsia="zh-CN"/>
        </w:rPr>
        <w:t>是我国在</w:t>
      </w:r>
      <w:r>
        <w:rPr>
          <w:rFonts w:hint="default" w:ascii="Times New Roman" w:hAnsi="Times New Roman" w:eastAsia="仿宋_GB2312" w:cs="Times New Roman"/>
          <w:b w:val="0"/>
          <w:bCs w:val="0"/>
          <w:color w:val="auto"/>
          <w:sz w:val="32"/>
          <w:szCs w:val="32"/>
          <w:lang w:val="en-US" w:eastAsia="zh-CN"/>
        </w:rPr>
        <w:t>2006年确立的基本刑事政策。宽严相济中的“严”，就是要毫不动摇地坚持“严打”方针，集中力量依法严厉打击严重刑事犯罪，“宽”就是要坚持区别对待，应依法从宽的就要依法从宽处理。“济”主要是指在对各类犯罪依法处罚时，要善于综合运用宽和严两种手段，对不同的犯罪和犯罪分子区别对待，做到宽中有严、严以济宽。</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认罪认罚从宽制度（第</w:t>
      </w: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页第</w:t>
      </w: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行）：</w:t>
      </w:r>
      <w:r>
        <w:rPr>
          <w:rFonts w:hint="default" w:ascii="Times New Roman" w:hAnsi="Times New Roman" w:eastAsia="仿宋_GB2312" w:cs="Times New Roman"/>
          <w:color w:val="auto"/>
          <w:sz w:val="32"/>
          <w:szCs w:val="32"/>
        </w:rPr>
        <w:t>是指犯罪嫌疑人、被告人自愿如实供述自己的罪行，承认指控的犯罪事实，愿意接受处罚的，可以依法从宽处理的一项诉讼制度。该项制度对于依法及时惩治犯罪、强化人权保障、优化司法资源配置、推动繁简分流、提升诉讼质量效率、完善多层次刑事诉讼程序体系等方面具有重要作用。</w:t>
      </w:r>
    </w:p>
    <w:p>
      <w:pPr>
        <w:pStyle w:val="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强制报告</w:t>
      </w:r>
      <w:r>
        <w:rPr>
          <w:rFonts w:hint="default" w:ascii="Times New Roman" w:hAnsi="Times New Roman" w:eastAsia="仿宋_GB2312" w:cs="Times New Roman"/>
          <w:b/>
          <w:bCs/>
          <w:color w:val="auto"/>
          <w:sz w:val="32"/>
          <w:szCs w:val="32"/>
          <w:lang w:val="en-US" w:eastAsia="zh-CN"/>
        </w:rPr>
        <w:t>制度</w:t>
      </w:r>
      <w:r>
        <w:rPr>
          <w:rFonts w:hint="default" w:ascii="Times New Roman" w:hAnsi="Times New Roman" w:eastAsia="仿宋_GB2312" w:cs="Times New Roman"/>
          <w:b/>
          <w:bCs/>
          <w:color w:val="auto"/>
          <w:sz w:val="32"/>
          <w:szCs w:val="32"/>
          <w:lang w:eastAsia="zh-CN"/>
        </w:rPr>
        <w:t>（第</w:t>
      </w: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eastAsia="zh-CN"/>
        </w:rPr>
        <w:t>页第</w:t>
      </w:r>
      <w:r>
        <w:rPr>
          <w:rFonts w:hint="default" w:ascii="Times New Roman" w:hAnsi="Times New Roman" w:eastAsia="仿宋_GB2312" w:cs="Times New Roman"/>
          <w:b/>
          <w:bCs/>
          <w:color w:val="auto"/>
          <w:sz w:val="32"/>
          <w:szCs w:val="32"/>
          <w:lang w:val="en-US" w:eastAsia="zh-CN"/>
        </w:rPr>
        <w:t>10</w:t>
      </w:r>
      <w:r>
        <w:rPr>
          <w:rFonts w:hint="default" w:ascii="Times New Roman" w:hAnsi="Times New Roman" w:eastAsia="仿宋_GB2312" w:cs="Times New Roman"/>
          <w:b/>
          <w:bCs/>
          <w:color w:val="auto"/>
          <w:sz w:val="32"/>
          <w:szCs w:val="32"/>
          <w:lang w:eastAsia="zh-CN"/>
        </w:rPr>
        <w:t>行）：</w:t>
      </w:r>
      <w:r>
        <w:rPr>
          <w:rFonts w:hint="default" w:ascii="Times New Roman" w:hAnsi="Times New Roman" w:eastAsia="仿宋_GB2312" w:cs="Times New Roman"/>
          <w:color w:val="auto"/>
          <w:kern w:val="2"/>
          <w:sz w:val="32"/>
          <w:szCs w:val="32"/>
          <w:lang w:val="en-US" w:eastAsia="zh-CN" w:bidi="ar-SA"/>
        </w:rPr>
        <w:t>2020年5月最高人民检察院联合国家监察委员会、教育部等九部门出台了《关于建立侵害未成年人案件强制报告制度的意见（试行）》，确立了强制报告制度。2021年6月1日，新修订的《未成年人保护法》进一步确认强制报告制度。国家机关、居民委员会、村民委员会、密切接触未成年人的单位及其工作人员，在工作中发现未成年人身</w:t>
      </w:r>
      <w:r>
        <w:rPr>
          <w:rFonts w:hint="default" w:ascii="Times New Roman" w:hAnsi="Times New Roman" w:eastAsia="仿宋_GB2312" w:cs="Times New Roman"/>
          <w:b w:val="0"/>
          <w:bCs w:val="0"/>
          <w:color w:val="auto"/>
          <w:sz w:val="32"/>
          <w:szCs w:val="32"/>
          <w:lang w:eastAsia="zh-CN"/>
        </w:rPr>
        <w:t>心健康受到侵害、疑似受到侵害或者面临其他危险情形的，应当立即向公安、民政、教育等有关部门报告，未履行报告职责的，依法承担相应的法律责任。</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利剑护蕾</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行动（第</w:t>
      </w: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页第</w:t>
      </w:r>
      <w:r>
        <w:rPr>
          <w:rFonts w:hint="default" w:ascii="Times New Roman" w:hAnsi="Times New Roman" w:eastAsia="仿宋_GB2312" w:cs="Times New Roman"/>
          <w:b/>
          <w:bCs/>
          <w:color w:val="auto"/>
          <w:sz w:val="32"/>
          <w:szCs w:val="32"/>
          <w:lang w:val="en-US" w:eastAsia="zh-CN"/>
        </w:rPr>
        <w:t>13</w:t>
      </w:r>
      <w:r>
        <w:rPr>
          <w:rFonts w:hint="default" w:ascii="Times New Roman" w:hAnsi="Times New Roman" w:eastAsia="仿宋_GB2312" w:cs="Times New Roman"/>
          <w:b/>
          <w:bCs/>
          <w:color w:val="auto"/>
          <w:sz w:val="32"/>
          <w:szCs w:val="32"/>
        </w:rPr>
        <w:t>行）</w:t>
      </w:r>
      <w:r>
        <w:rPr>
          <w:rFonts w:hint="default" w:ascii="Times New Roman" w:hAnsi="Times New Roman" w:eastAsia="仿宋_GB2312" w:cs="Times New Roman"/>
          <w:color w:val="auto"/>
          <w:sz w:val="32"/>
          <w:szCs w:val="32"/>
        </w:rPr>
        <w:t>：旨在提高未成年人防性侵意识和自我保护能力，预防未成年人受到性侵害，减少性侵未成年人违法犯罪的发生。</w:t>
      </w:r>
    </w:p>
    <w:p>
      <w:pPr>
        <w:pStyle w:val="7"/>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rPr>
      </w:pPr>
      <w:r>
        <w:rPr>
          <w:rFonts w:hint="default" w:ascii="Times New Roman" w:hAnsi="Times New Roman" w:eastAsia="仿宋_GB2312" w:cs="Times New Roman"/>
          <w:b/>
          <w:bCs/>
          <w:color w:val="auto"/>
          <w:sz w:val="32"/>
          <w:szCs w:val="32"/>
          <w:lang w:eastAsia="zh-CN"/>
        </w:rPr>
        <w:t>附条件不起诉（第</w:t>
      </w: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eastAsia="zh-CN"/>
        </w:rPr>
        <w:t>页第</w:t>
      </w:r>
      <w:r>
        <w:rPr>
          <w:rFonts w:hint="default" w:ascii="Times New Roman" w:hAnsi="Times New Roman" w:eastAsia="仿宋_GB2312" w:cs="Times New Roman"/>
          <w:b/>
          <w:bCs/>
          <w:color w:val="auto"/>
          <w:sz w:val="32"/>
          <w:szCs w:val="32"/>
          <w:lang w:val="en-US" w:eastAsia="zh-CN"/>
        </w:rPr>
        <w:t>15</w:t>
      </w:r>
      <w:r>
        <w:rPr>
          <w:rFonts w:hint="default" w:ascii="Times New Roman" w:hAnsi="Times New Roman" w:eastAsia="仿宋_GB2312" w:cs="Times New Roman"/>
          <w:b/>
          <w:bCs/>
          <w:color w:val="auto"/>
          <w:sz w:val="32"/>
          <w:szCs w:val="32"/>
          <w:lang w:eastAsia="zh-CN"/>
        </w:rPr>
        <w:t>行）：</w:t>
      </w:r>
      <w:r>
        <w:rPr>
          <w:rFonts w:hint="default" w:ascii="Times New Roman" w:hAnsi="Times New Roman" w:eastAsia="仿宋_GB2312" w:cs="Times New Roman"/>
          <w:color w:val="auto"/>
          <w:kern w:val="2"/>
          <w:sz w:val="32"/>
          <w:szCs w:val="32"/>
          <w:lang w:val="en-US" w:eastAsia="zh-CN" w:bidi="ar-SA"/>
        </w:rPr>
        <w:t>是指对于未成年人涉嫌侵犯公民人身权利、民主权利或侵犯财产、妨碍社会管理秩序犯罪，可能判处一年有期徒刑以下刑罚，符合起诉条件，但有悔罪表现的，检察机关可以做出附条件不起诉决定，并设定六个月以上一年以下的考验期，对其进行监督考察。对考验期内实施新的犯罪、发现漏罪或者严重违反有关规定的，检察机关应当撤销附条件不起诉决定，提起公诉；在考验期内没有上述情形的，考验期满的，应当做出不起诉决定。</w:t>
      </w:r>
    </w:p>
    <w:p>
      <w:pPr>
        <w:pStyle w:val="2"/>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“一取消三不再”（第9页第1</w:t>
      </w:r>
      <w:r>
        <w:rPr>
          <w:rFonts w:hint="eastAsia" w:eastAsia="仿宋_GB2312" w:cs="Times New Roman"/>
          <w:b/>
          <w:bCs/>
          <w:color w:val="auto"/>
          <w:kern w:val="2"/>
          <w:sz w:val="32"/>
          <w:szCs w:val="32"/>
          <w:lang w:val="en-US" w:eastAsia="zh-CN" w:bidi="ar-SA"/>
        </w:rPr>
        <w:t>6</w:t>
      </w:r>
      <w:r>
        <w:rPr>
          <w:rFonts w:hint="default" w:ascii="Times New Roman" w:hAnsi="Times New Roman" w:eastAsia="仿宋_GB2312" w:cs="Times New Roman"/>
          <w:b/>
          <w:bCs/>
          <w:color w:val="auto"/>
          <w:kern w:val="2"/>
          <w:sz w:val="32"/>
          <w:szCs w:val="32"/>
          <w:lang w:val="en-US" w:eastAsia="zh-CN" w:bidi="ar-SA"/>
        </w:rPr>
        <w:t>行）：</w:t>
      </w:r>
      <w:r>
        <w:rPr>
          <w:rFonts w:hint="default" w:ascii="Times New Roman" w:hAnsi="Times New Roman" w:eastAsia="仿宋_GB2312" w:cs="Times New Roman"/>
          <w:color w:val="auto"/>
          <w:kern w:val="2"/>
          <w:sz w:val="32"/>
          <w:szCs w:val="32"/>
          <w:lang w:val="en-US" w:eastAsia="zh-CN" w:bidi="ar-SA"/>
        </w:rPr>
        <w:t>是指最高检取消一切对各级检察机关特别是基层检察机关的不必要、不恰当、不合理考核，不再执行检察业务评价指标体系，不再设置各类通报值等评价指标，不再对各地业务数据进行排名通报。</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76" w:lineRule="exact"/>
        <w:ind w:left="0" w:righ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“三个管理”（第1</w:t>
      </w:r>
      <w:r>
        <w:rPr>
          <w:rFonts w:hint="eastAsia" w:ascii="Times New Roman" w:hAnsi="Times New Roman" w:eastAsia="仿宋_GB2312"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页第</w:t>
      </w:r>
      <w:r>
        <w:rPr>
          <w:rFonts w:hint="eastAsia" w:ascii="Times New Roman" w:hAnsi="Times New Roman" w:eastAsia="仿宋_GB2312" w:cs="Times New Roman"/>
          <w:b/>
          <w:bCs/>
          <w:color w:val="auto"/>
          <w:kern w:val="2"/>
          <w:sz w:val="32"/>
          <w:szCs w:val="32"/>
          <w:lang w:val="en-US" w:eastAsia="zh-CN" w:bidi="ar-SA"/>
        </w:rPr>
        <w:t>22</w:t>
      </w:r>
      <w:r>
        <w:rPr>
          <w:rFonts w:hint="default" w:ascii="Times New Roman" w:hAnsi="Times New Roman" w:eastAsia="仿宋_GB2312" w:cs="Times New Roman"/>
          <w:b/>
          <w:bCs/>
          <w:color w:val="auto"/>
          <w:kern w:val="2"/>
          <w:sz w:val="32"/>
          <w:szCs w:val="32"/>
          <w:lang w:val="en-US" w:eastAsia="zh-CN" w:bidi="ar-SA"/>
        </w:rPr>
        <w:t>行）：</w:t>
      </w:r>
      <w:r>
        <w:rPr>
          <w:rFonts w:hint="default" w:ascii="Times New Roman" w:hAnsi="Times New Roman" w:eastAsia="仿宋_GB2312" w:cs="Times New Roman"/>
          <w:color w:val="auto"/>
          <w:kern w:val="2"/>
          <w:sz w:val="32"/>
          <w:szCs w:val="32"/>
          <w:lang w:val="en-US" w:eastAsia="zh-CN" w:bidi="ar-SA"/>
        </w:rPr>
        <w:t>最高检提出“一体抓好三个管理，推动高质效办好每一个案件落到实处。”“三个管理”指的是业务管理、案件管理和质量管理。业务管理处于检察管理中的决策范畴，在检察管理中居于主纲地位。案件管理是业务管理的前提，也是对检察业务进行宏观分析研判的基础。质量管理侧重于追求所办具体个案政治效果、法律效果、社会效果的有机统一。</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76" w:lineRule="exact"/>
        <w:ind w:left="0" w:righ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四大检察</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履职结构比</w:t>
      </w:r>
      <w:r>
        <w:rPr>
          <w:rFonts w:hint="default" w:ascii="Times New Roman" w:hAnsi="Times New Roman" w:eastAsia="仿宋_GB2312" w:cs="Times New Roman"/>
          <w:b/>
          <w:bCs/>
          <w:color w:val="auto"/>
          <w:kern w:val="2"/>
          <w:sz w:val="32"/>
          <w:szCs w:val="32"/>
          <w:lang w:val="en-US" w:eastAsia="zh-CN" w:bidi="ar-SA"/>
        </w:rPr>
        <w:t>（第14页第</w:t>
      </w:r>
      <w:r>
        <w:rPr>
          <w:rFonts w:hint="eastAsia" w:ascii="Times New Roman" w:hAnsi="Times New Roman" w:eastAsia="仿宋_GB2312" w:cs="Times New Roman"/>
          <w:b/>
          <w:bCs/>
          <w:color w:val="auto"/>
          <w:kern w:val="2"/>
          <w:sz w:val="32"/>
          <w:szCs w:val="32"/>
          <w:lang w:val="en-US" w:eastAsia="zh-CN" w:bidi="ar-SA"/>
        </w:rPr>
        <w:t>2</w:t>
      </w:r>
      <w:r>
        <w:rPr>
          <w:rFonts w:hint="default" w:ascii="Times New Roman" w:hAnsi="Times New Roman" w:eastAsia="仿宋_GB2312" w:cs="Times New Roman"/>
          <w:b/>
          <w:bCs/>
          <w:color w:val="auto"/>
          <w:kern w:val="2"/>
          <w:sz w:val="32"/>
          <w:szCs w:val="32"/>
          <w:lang w:val="en-US" w:eastAsia="zh-CN" w:bidi="ar-SA"/>
        </w:rPr>
        <w:t>行）：</w:t>
      </w:r>
      <w:r>
        <w:rPr>
          <w:rFonts w:hint="default" w:ascii="Times New Roman" w:hAnsi="Times New Roman" w:eastAsia="仿宋_GB2312" w:cs="Times New Roman"/>
          <w:color w:val="auto"/>
          <w:kern w:val="2"/>
          <w:sz w:val="32"/>
          <w:szCs w:val="32"/>
          <w:lang w:val="en-US" w:eastAsia="zh-CN" w:bidi="ar-SA"/>
        </w:rPr>
        <w:t>最高人民检察院应勇检察长多次强调,要树立系统思维、长期思维、辩证思维,深化对“三个结构比”的理解、认识、运用。“三个结构比”指的是依程序办案与依职权监督的案件结构比，依程序移送、依申请受案与主动发现的案源结构比。“三个结构比”来源于“四大检察”履职，又引领推动“四大检察”履职朝着更加全面、更加协调、更加充分的方向健康发展，并为观测和评估一体履职、综合履职态势提供了系统量化工具。</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76" w:lineRule="exact"/>
        <w:ind w:left="0" w:right="0" w:firstLine="642" w:firstLineChars="200"/>
        <w:jc w:val="both"/>
        <w:textAlignment w:val="auto"/>
        <w:rPr>
          <w:rFonts w:hint="default" w:ascii="Times New Roman" w:hAnsi="Times New Roman" w:eastAsia="仿宋_GB2312" w:cs="Times New Roman"/>
          <w:color w:val="auto"/>
          <w:sz w:val="32"/>
          <w:szCs w:val="32"/>
        </w:rPr>
        <w:sectPr>
          <w:footerReference r:id="rId3" w:type="default"/>
          <w:pgSz w:w="11906" w:h="16838"/>
          <w:pgMar w:top="2098" w:right="1587" w:bottom="1984" w:left="1588" w:header="851" w:footer="1417" w:gutter="0"/>
          <w:pgNumType w:fmt="numberInDash"/>
          <w:cols w:space="0" w:num="1"/>
          <w:titlePg/>
          <w:rtlGutter w:val="0"/>
          <w:docGrid w:type="lines" w:linePitch="312" w:charSpace="0"/>
        </w:sectPr>
      </w:pPr>
      <w:r>
        <w:rPr>
          <w:rFonts w:hint="default" w:ascii="Times New Roman" w:hAnsi="Times New Roman" w:eastAsia="仿宋_GB2312" w:cs="Times New Roman"/>
          <w:b/>
          <w:bCs/>
          <w:color w:val="auto"/>
          <w:sz w:val="32"/>
          <w:szCs w:val="32"/>
        </w:rPr>
        <w:t>全文数据说明</w:t>
      </w:r>
      <w:r>
        <w:rPr>
          <w:rFonts w:hint="default" w:ascii="Times New Roman" w:hAnsi="Times New Roman" w:eastAsia="仿宋_GB2312" w:cs="Times New Roman"/>
          <w:color w:val="auto"/>
          <w:sz w:val="32"/>
          <w:szCs w:val="32"/>
        </w:rPr>
        <w:t>：本报告业务数据和案例的统计时间为202</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年1月1日至202</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年12月31日。</w:t>
      </w:r>
    </w:p>
    <w:p>
      <w:pPr>
        <w:keepNext w:val="0"/>
        <w:keepLines w:val="0"/>
        <w:pageBreakBefore w:val="0"/>
        <w:kinsoku/>
        <w:wordWrap/>
        <w:overflowPunct/>
        <w:topLinePunct w:val="0"/>
        <w:autoSpaceDE/>
        <w:autoSpaceDN/>
        <w:bidi w:val="0"/>
        <w:snapToGrid w:val="0"/>
        <w:spacing w:line="560" w:lineRule="exac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附件2</w:t>
      </w:r>
    </w:p>
    <w:p>
      <w:pPr>
        <w:pStyle w:val="2"/>
        <w:rPr>
          <w:rFonts w:hint="default"/>
          <w:color w:val="auto"/>
        </w:rPr>
      </w:pPr>
    </w:p>
    <w:p>
      <w:pPr>
        <w:keepNext w:val="0"/>
        <w:keepLines w:val="0"/>
        <w:pageBreakBefore w:val="0"/>
        <w:widowControl w:val="0"/>
        <w:kinsoku/>
        <w:wordWrap/>
        <w:overflowPunct/>
        <w:topLinePunct w:val="0"/>
        <w:autoSpaceDE/>
        <w:autoSpaceDN/>
        <w:bidi w:val="0"/>
        <w:adjustRightInd/>
        <w:snapToGrid/>
        <w:spacing w:before="157" w:beforeLines="50" w:after="313" w:afterLines="100" w:line="560" w:lineRule="exact"/>
        <w:jc w:val="center"/>
        <w:textAlignment w:val="auto"/>
        <w:rPr>
          <w:rFonts w:hint="eastAsia" w:ascii="方正小标宋简体" w:hAnsi="方正小标宋简体" w:eastAsia="方正小标宋简体" w:cs="方正小标宋简体"/>
          <w:color w:val="auto"/>
          <w:spacing w:val="-16"/>
          <w:sz w:val="44"/>
          <w:szCs w:val="44"/>
        </w:rPr>
      </w:pPr>
      <w:r>
        <w:rPr>
          <w:rFonts w:hint="eastAsia" w:ascii="方正小标宋简体" w:hAnsi="方正小标宋简体" w:eastAsia="方正小标宋简体" w:cs="方正小标宋简体"/>
          <w:color w:val="auto"/>
          <w:spacing w:val="-16"/>
          <w:sz w:val="44"/>
          <w:szCs w:val="44"/>
        </w:rPr>
        <w:t>202</w:t>
      </w:r>
      <w:r>
        <w:rPr>
          <w:rFonts w:hint="eastAsia" w:ascii="方正小标宋简体" w:hAnsi="方正小标宋简体" w:eastAsia="方正小标宋简体" w:cs="方正小标宋简体"/>
          <w:color w:val="auto"/>
          <w:spacing w:val="-16"/>
          <w:sz w:val="44"/>
          <w:szCs w:val="44"/>
          <w:lang w:val="en-US" w:eastAsia="zh-CN"/>
        </w:rPr>
        <w:t>4</w:t>
      </w:r>
      <w:r>
        <w:rPr>
          <w:rFonts w:hint="eastAsia" w:ascii="方正小标宋简体" w:hAnsi="方正小标宋简体" w:eastAsia="方正小标宋简体" w:cs="方正小标宋简体"/>
          <w:color w:val="auto"/>
          <w:spacing w:val="-16"/>
          <w:sz w:val="44"/>
          <w:szCs w:val="44"/>
        </w:rPr>
        <w:t>年度澧县检察院获得的市级以上典型荣誉</w:t>
      </w:r>
    </w:p>
    <w:tbl>
      <w:tblPr>
        <w:tblStyle w:val="12"/>
        <w:tblW w:w="891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687"/>
        <w:gridCol w:w="1299"/>
        <w:gridCol w:w="4540"/>
        <w:gridCol w:w="238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tblHeader/>
          <w:jc w:val="center"/>
        </w:trPr>
        <w:tc>
          <w:tcPr>
            <w:tcW w:w="687" w:type="dxa"/>
            <w:tcBorders>
              <w:top w:val="single" w:color="auto" w:sz="8" w:space="0"/>
              <w:bottom w:val="single" w:color="auto" w:sz="8"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黑体" w:cs="Times New Roman"/>
                <w:color w:val="auto"/>
                <w:spacing w:val="0"/>
                <w:w w:val="100"/>
                <w:kern w:val="0"/>
              </w:rPr>
            </w:pPr>
            <w:r>
              <w:rPr>
                <w:rFonts w:hint="default" w:ascii="Times New Roman" w:hAnsi="Times New Roman" w:eastAsia="黑体" w:cs="Times New Roman"/>
                <w:color w:val="auto"/>
                <w:spacing w:val="0"/>
                <w:w w:val="100"/>
                <w:kern w:val="0"/>
              </w:rPr>
              <w:t>序号</w:t>
            </w:r>
          </w:p>
        </w:tc>
        <w:tc>
          <w:tcPr>
            <w:tcW w:w="1299" w:type="dxa"/>
            <w:tcBorders>
              <w:top w:val="single" w:color="auto" w:sz="8" w:space="0"/>
              <w:bottom w:val="single" w:color="auto" w:sz="8"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黑体" w:cs="Times New Roman"/>
                <w:color w:val="auto"/>
                <w:spacing w:val="0"/>
                <w:w w:val="100"/>
                <w:kern w:val="0"/>
                <w:lang w:eastAsia="zh-CN"/>
              </w:rPr>
            </w:pPr>
            <w:r>
              <w:rPr>
                <w:rFonts w:hint="default" w:ascii="Times New Roman" w:hAnsi="Times New Roman" w:eastAsia="黑体" w:cs="Times New Roman"/>
                <w:color w:val="auto"/>
                <w:spacing w:val="0"/>
                <w:w w:val="100"/>
                <w:kern w:val="0"/>
                <w:lang w:eastAsia="zh-CN"/>
              </w:rPr>
              <w:t>被表彰单位</w:t>
            </w:r>
          </w:p>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黑体" w:cs="Times New Roman"/>
                <w:color w:val="auto"/>
                <w:spacing w:val="0"/>
                <w:w w:val="100"/>
                <w:kern w:val="0"/>
              </w:rPr>
            </w:pPr>
            <w:r>
              <w:rPr>
                <w:rFonts w:hint="default" w:ascii="Times New Roman" w:hAnsi="Times New Roman" w:eastAsia="黑体" w:cs="Times New Roman"/>
                <w:color w:val="auto"/>
                <w:spacing w:val="0"/>
                <w:w w:val="100"/>
                <w:kern w:val="0"/>
                <w:lang w:eastAsia="zh-CN"/>
              </w:rPr>
              <w:t>或</w:t>
            </w:r>
            <w:r>
              <w:rPr>
                <w:rFonts w:hint="default" w:ascii="Times New Roman" w:hAnsi="Times New Roman" w:eastAsia="黑体" w:cs="Times New Roman"/>
                <w:color w:val="auto"/>
                <w:spacing w:val="0"/>
                <w:w w:val="100"/>
                <w:kern w:val="0"/>
              </w:rPr>
              <w:t>个人</w:t>
            </w:r>
          </w:p>
        </w:tc>
        <w:tc>
          <w:tcPr>
            <w:tcW w:w="4540" w:type="dxa"/>
            <w:tcBorders>
              <w:top w:val="single" w:color="auto" w:sz="8" w:space="0"/>
              <w:bottom w:val="single" w:color="auto" w:sz="8"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黑体" w:cs="Times New Roman"/>
                <w:color w:val="auto"/>
                <w:spacing w:val="0"/>
                <w:w w:val="100"/>
                <w:kern w:val="0"/>
              </w:rPr>
            </w:pPr>
            <w:r>
              <w:rPr>
                <w:rFonts w:hint="default" w:ascii="Times New Roman" w:hAnsi="Times New Roman" w:eastAsia="黑体" w:cs="Times New Roman"/>
                <w:color w:val="auto"/>
                <w:spacing w:val="0"/>
                <w:w w:val="100"/>
                <w:kern w:val="0"/>
              </w:rPr>
              <w:t>荣誉称号</w:t>
            </w:r>
          </w:p>
        </w:tc>
        <w:tc>
          <w:tcPr>
            <w:tcW w:w="2386" w:type="dxa"/>
            <w:tcBorders>
              <w:top w:val="single" w:color="auto" w:sz="8" w:space="0"/>
              <w:bottom w:val="single" w:color="auto" w:sz="8"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黑体" w:cs="Times New Roman"/>
                <w:color w:val="auto"/>
                <w:spacing w:val="0"/>
                <w:w w:val="100"/>
                <w:kern w:val="0"/>
              </w:rPr>
            </w:pPr>
            <w:r>
              <w:rPr>
                <w:rFonts w:hint="default" w:ascii="Times New Roman" w:hAnsi="Times New Roman" w:eastAsia="黑体" w:cs="Times New Roman"/>
                <w:color w:val="auto"/>
                <w:spacing w:val="0"/>
                <w:w w:val="100"/>
                <w:kern w:val="0"/>
              </w:rPr>
              <w:t>授予部门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2023年度全省法院  检察院预算管理</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工作先进单位</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湖南省财政厅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先进基层检察院</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3</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全省检察机关2023年度计划财务</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装备工作先进集体</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4</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全省检察机关“利剑护蕾2023”</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专项行动先进集体</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5</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黄某兵强奸、猥亵儿童案获全省检察机关“利剑护蕾2023”专项行动优秀案件</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6</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黄某兵强奸、猥亵儿童案获全省检察机关2023年度优秀案件</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7</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督促保护国家湿地公园公益林行政公益诉讼案获全省2023年度公益诉讼典型案例</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8</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覃某某侵犯注册商标专用权行政处罚检察意见案获全省2023年度行政优秀案件</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第七检察部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9</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刘钦</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全省检察机关常态化扫黑除恶斗争</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先进个人</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10</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魏安琪</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全省检察机关办公室公文写作二等奖</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湖南省人民检察院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办公室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11</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2024年常德市检察官与律师团体</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论辩赛最佳团队</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常德市司法局</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常德市律师协会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12</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2023年度全市检察工作先进集体</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13</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2023年度检察业务考评先进单位</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14</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全市检察机关2024年公诉人团体</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论辩赛二等奖</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15</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澧县人民检察院皮军波办案团队</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2023年度全市检察机关刑事执行检察</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优秀办案团队</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tcBorders>
              <w:top w:val="single" w:color="auto" w:sz="8" w:space="0"/>
              <w:bottom w:val="single" w:color="auto" w:sz="8"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16</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龚某某房屋买卖合同纠纷执行监督案获</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全市民事优秀案件</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第六检察部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687"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17</w:t>
            </w:r>
          </w:p>
        </w:tc>
        <w:tc>
          <w:tcPr>
            <w:tcW w:w="1299"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澧县人民检察院</w:t>
            </w:r>
          </w:p>
        </w:tc>
        <w:tc>
          <w:tcPr>
            <w:tcW w:w="4540"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覃某某侵犯注册商标专用权行政处罚</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检察意见案获全市行政优秀案件</w:t>
            </w:r>
          </w:p>
        </w:tc>
        <w:tc>
          <w:tcPr>
            <w:tcW w:w="2386" w:type="dxa"/>
            <w:tcBorders>
              <w:top w:val="single" w:color="auto" w:sz="8" w:space="0"/>
              <w:bottom w:val="single" w:color="auto" w:sz="8"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第六检察部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18</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袁其帅</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中共常德市委宣传部表彰基层理论宣讲</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先进个人</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中共常德市委宣传部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19</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周欠鹏</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抽调参加八届市委巡察工作表现优秀干部</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中共常德市委巡察工作领导小组办公室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83" w:hRule="exact"/>
          <w:jc w:val="center"/>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魏安琪</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2024年常德市检察官与律师团体</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论辩赛最佳辩手</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常德市司法局</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常德市律师协会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64" w:hRule="exac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21</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黄</w:t>
            </w:r>
            <w:r>
              <w:rPr>
                <w:rFonts w:hint="eastAsia" w:ascii="Times New Roman" w:hAnsi="Times New Roman" w:eastAsia="仿宋_GB2312" w:cs="Times New Roman"/>
                <w:i w:val="0"/>
                <w:color w:val="auto"/>
                <w:spacing w:val="0"/>
                <w:w w:val="100"/>
                <w:kern w:val="0"/>
                <w:sz w:val="24"/>
                <w:szCs w:val="24"/>
                <w:u w:val="none"/>
                <w:lang w:val="en-US" w:eastAsia="zh-CN" w:bidi="ar"/>
              </w:rPr>
              <w:t xml:space="preserve">  </w:t>
            </w:r>
            <w:r>
              <w:rPr>
                <w:rFonts w:hint="default" w:ascii="Times New Roman" w:hAnsi="Times New Roman" w:eastAsia="仿宋_GB2312" w:cs="Times New Roman"/>
                <w:i w:val="0"/>
                <w:color w:val="auto"/>
                <w:spacing w:val="0"/>
                <w:w w:val="100"/>
                <w:kern w:val="0"/>
                <w:sz w:val="24"/>
                <w:szCs w:val="24"/>
                <w:u w:val="none"/>
                <w:lang w:val="en-US" w:eastAsia="zh-CN" w:bidi="ar"/>
              </w:rPr>
              <w:t>倩</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2024年常德市检察官与律师团体</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论辩赛优秀辩手</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常德市司法局</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常德市律师协会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22</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皮军波</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2023年度全市检察机关刑事执行检察</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优秀办案个人</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23</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黄</w:t>
            </w:r>
            <w:r>
              <w:rPr>
                <w:rFonts w:hint="eastAsia" w:ascii="Times New Roman" w:hAnsi="Times New Roman" w:eastAsia="仿宋_GB2312" w:cs="Times New Roman"/>
                <w:i w:val="0"/>
                <w:color w:val="auto"/>
                <w:spacing w:val="0"/>
                <w:w w:val="100"/>
                <w:kern w:val="0"/>
                <w:sz w:val="24"/>
                <w:szCs w:val="24"/>
                <w:u w:val="none"/>
                <w:lang w:val="en-US" w:eastAsia="zh-CN" w:bidi="ar"/>
              </w:rPr>
              <w:t xml:space="preserve">  </w:t>
            </w:r>
            <w:r>
              <w:rPr>
                <w:rFonts w:hint="default" w:ascii="Times New Roman" w:hAnsi="Times New Roman" w:eastAsia="仿宋_GB2312" w:cs="Times New Roman"/>
                <w:i w:val="0"/>
                <w:color w:val="auto"/>
                <w:spacing w:val="0"/>
                <w:w w:val="100"/>
                <w:kern w:val="0"/>
                <w:sz w:val="24"/>
                <w:szCs w:val="24"/>
                <w:u w:val="none"/>
                <w:lang w:val="en-US" w:eastAsia="zh-CN" w:bidi="ar"/>
              </w:rPr>
              <w:t>倩</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全市检察机关2024年公诉人团体</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论辩赛最佳辩手</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w w:val="100"/>
                <w:kern w:val="0"/>
                <w:sz w:val="24"/>
                <w:szCs w:val="24"/>
                <w:u w:val="none"/>
                <w:lang w:val="en-US" w:eastAsia="zh-CN" w:bidi="ar"/>
              </w:rPr>
            </w:pPr>
            <w:r>
              <w:rPr>
                <w:rFonts w:hint="default" w:ascii="Times New Roman" w:hAnsi="Times New Roman" w:eastAsia="仿宋_GB2312" w:cs="Times New Roman"/>
                <w:i w:val="0"/>
                <w:color w:val="auto"/>
                <w:spacing w:val="0"/>
                <w:w w:val="100"/>
                <w:kern w:val="0"/>
                <w:sz w:val="24"/>
                <w:szCs w:val="24"/>
                <w:u w:val="none"/>
                <w:lang w:val="en-US" w:eastAsia="zh-CN" w:bidi="ar"/>
              </w:rPr>
              <w:t>常德市人民检察院</w:t>
            </w:r>
          </w:p>
        </w:tc>
      </w:tr>
    </w:tbl>
    <w:p>
      <w:pPr>
        <w:pStyle w:val="2"/>
        <w:spacing w:line="600" w:lineRule="exact"/>
        <w:ind w:firstLine="0" w:firstLineChars="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附件3</w:t>
      </w:r>
    </w:p>
    <w:p>
      <w:pPr>
        <w:pStyle w:val="2"/>
        <w:spacing w:line="600" w:lineRule="exact"/>
        <w:ind w:firstLine="0" w:firstLineChars="0"/>
        <w:rPr>
          <w:rFonts w:hint="default" w:ascii="Times New Roman" w:hAnsi="Times New Roman" w:eastAsia="黑体" w:cs="Times New Roman"/>
          <w:color w:val="auto"/>
          <w:sz w:val="32"/>
          <w:szCs w:val="32"/>
        </w:rPr>
      </w:pPr>
    </w:p>
    <w:p>
      <w:pPr>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澧县人民检察院</w:t>
      </w:r>
    </w:p>
    <w:p>
      <w:pPr>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官方微信公众平台、微博二维码名片</w:t>
      </w:r>
    </w:p>
    <w:p>
      <w:pPr>
        <w:jc w:val="center"/>
        <w:rPr>
          <w:rFonts w:hint="default" w:ascii="Times New Roman" w:hAnsi="Times New Roman" w:eastAsia="黑体" w:cs="Times New Roman"/>
          <w:color w:val="auto"/>
        </w:rPr>
      </w:pPr>
    </w:p>
    <w:p>
      <w:pPr>
        <w:pStyle w:val="2"/>
        <w:rPr>
          <w:rFonts w:hint="default" w:ascii="Times New Roman" w:hAnsi="Times New Roman" w:cs="Times New Roman"/>
          <w:color w:val="auto"/>
        </w:rPr>
      </w:pPr>
    </w:p>
    <w:p>
      <w:pPr>
        <w:jc w:val="center"/>
        <w:rPr>
          <w:rFonts w:hint="default" w:ascii="Times New Roman" w:hAnsi="Times New Roman" w:eastAsia="黑体" w:cs="Times New Roman"/>
          <w:color w:val="auto"/>
        </w:rPr>
      </w:pPr>
      <w:r>
        <w:rPr>
          <w:rFonts w:hint="default" w:ascii="Times New Roman" w:hAnsi="Times New Roman" w:eastAsia="黑体" w:cs="Times New Roman"/>
          <w:color w:val="auto"/>
        </w:rPr>
        <w:drawing>
          <wp:inline distT="0" distB="0" distL="114300" distR="114300">
            <wp:extent cx="1724025" cy="1724025"/>
            <wp:effectExtent l="0" t="0" r="3175" b="3175"/>
            <wp:docPr id="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true"/>
                    </pic:cNvPicPr>
                  </pic:nvPicPr>
                  <pic:blipFill>
                    <a:blip r:embed="rId5"/>
                    <a:stretch>
                      <a:fillRect/>
                    </a:stretch>
                  </pic:blipFill>
                  <pic:spPr>
                    <a:xfrm>
                      <a:off x="0" y="0"/>
                      <a:ext cx="1724025" cy="17240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澧县人民检察院官方微信公众平台</w:t>
      </w:r>
    </w:p>
    <w:p>
      <w:pPr>
        <w:jc w:val="center"/>
        <w:rPr>
          <w:rFonts w:hint="default" w:ascii="Times New Roman" w:hAnsi="Times New Roman" w:eastAsia="仿宋" w:cs="Times New Roman"/>
          <w:color w:val="auto"/>
        </w:rPr>
      </w:pPr>
    </w:p>
    <w:p>
      <w:pPr>
        <w:pStyle w:val="2"/>
        <w:rPr>
          <w:rFonts w:hint="default" w:ascii="Times New Roman" w:hAnsi="Times New Roman" w:cs="Times New Roman"/>
          <w:color w:val="auto"/>
        </w:rPr>
      </w:pPr>
    </w:p>
    <w:p>
      <w:pPr>
        <w:jc w:val="center"/>
        <w:rPr>
          <w:rFonts w:hint="default" w:ascii="Times New Roman" w:hAnsi="Times New Roman" w:eastAsia="仿宋" w:cs="Times New Roman"/>
          <w:color w:val="auto"/>
        </w:rPr>
      </w:pPr>
      <w:r>
        <w:rPr>
          <w:rFonts w:hint="default" w:ascii="Times New Roman" w:hAnsi="Times New Roman" w:eastAsia="仿宋" w:cs="Times New Roman"/>
          <w:color w:val="auto"/>
        </w:rPr>
        <w:drawing>
          <wp:inline distT="0" distB="0" distL="114300" distR="114300">
            <wp:extent cx="1714500" cy="1714500"/>
            <wp:effectExtent l="0" t="0" r="0" b="0"/>
            <wp:docPr id="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true"/>
                    </pic:cNvPicPr>
                  </pic:nvPicPr>
                  <pic:blipFill>
                    <a:blip r:embed="rId6"/>
                    <a:stretch>
                      <a:fillRect/>
                    </a:stretch>
                  </pic:blipFill>
                  <pic:spPr>
                    <a:xfrm>
                      <a:off x="0" y="0"/>
                      <a:ext cx="1714500" cy="17145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澧县人民检察院官方微博</w:t>
      </w:r>
    </w:p>
    <w:p>
      <w:pPr>
        <w:pStyle w:val="20"/>
        <w:spacing w:after="0" w:line="384" w:lineRule="exact"/>
        <w:ind w:firstLine="0" w:firstLineChars="0"/>
        <w:rPr>
          <w:rFonts w:hint="default" w:ascii="Times New Roman" w:hAnsi="Times New Roman" w:cs="Times New Roman"/>
          <w:color w:val="auto"/>
        </w:rPr>
      </w:pPr>
    </w:p>
    <w:p>
      <w:pPr>
        <w:rPr>
          <w:rFonts w:hint="default" w:ascii="Times New Roman" w:hAnsi="Times New Roman" w:cs="Times New Roman"/>
          <w:color w:val="auto"/>
        </w:rPr>
      </w:pPr>
    </w:p>
    <w:p>
      <w:pPr>
        <w:pStyle w:val="2"/>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keepNext w:val="0"/>
        <w:keepLines w:val="0"/>
        <w:pageBreakBefore w:val="0"/>
        <w:widowControl w:val="0"/>
        <w:kinsoku/>
        <w:wordWrap/>
        <w:overflowPunct/>
        <w:topLinePunct w:val="0"/>
        <w:autoSpaceDE/>
        <w:autoSpaceDN/>
        <w:bidi w:val="0"/>
        <w:adjustRightInd/>
        <w:snapToGrid/>
        <w:spacing w:before="157" w:beforeLines="50"/>
        <w:ind w:left="-84" w:leftChars="-40" w:firstLine="84" w:firstLineChars="40"/>
        <w:textAlignment w:val="auto"/>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ind w:left="-84" w:leftChars="-40" w:firstLine="84" w:firstLineChars="40"/>
        <w:rPr>
          <w:rFonts w:hint="default" w:ascii="Times New Roman" w:hAnsi="Times New Roman" w:cs="Times New Roman"/>
          <w:color w:val="auto"/>
        </w:rPr>
      </w:pPr>
    </w:p>
    <w:p>
      <w:pPr>
        <w:pStyle w:val="7"/>
        <w:keepNext w:val="0"/>
        <w:keepLines w:val="0"/>
        <w:pageBreakBefore w:val="0"/>
        <w:widowControl/>
        <w:kinsoku/>
        <w:wordWrap/>
        <w:overflowPunct/>
        <w:topLinePunct w:val="0"/>
        <w:autoSpaceDE/>
        <w:autoSpaceDN/>
        <w:bidi w:val="0"/>
        <w:adjustRightInd/>
        <w:snapToGrid/>
        <w:spacing w:line="420" w:lineRule="exact"/>
        <w:ind w:left="-84" w:leftChars="-40" w:firstLine="84" w:firstLineChars="40"/>
        <w:textAlignment w:val="auto"/>
        <w:rPr>
          <w:rFonts w:ascii="Times New Roman" w:hAnsi="Times New Roman" w:cs="Times New Roman"/>
          <w:color w:val="auto"/>
        </w:rPr>
      </w:pPr>
      <w:r>
        <w:rPr>
          <w:rFonts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-53340</wp:posOffset>
                </wp:positionH>
                <wp:positionV relativeFrom="paragraph">
                  <wp:posOffset>210820</wp:posOffset>
                </wp:positionV>
                <wp:extent cx="5615940"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4.2pt;margin-top:16.6pt;height:0pt;width:442.2pt;z-index:251659264;mso-width-relative:page;mso-height-relative:page;" filled="f" stroked="t" coordsize="21600,21600" o:gfxdata="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BbLn89YAAAAIAQAADwAAAAAAAAABACAAAAA4AAAAZHJzL2Rvd25yZXYueG1sUEsBAhQA&#10;FAAAAAgAh07iQAnKy7TeAQAAmQMAAA4AAAAAAAAAAQAgAAAAOwEAAGRycy9lMm9Eb2MueG1sUEsF&#10;BgAAAAAGAAYAWQEAAIsFAAAAAA==&#10;">
                <v:fill on="f" focussize="0,0"/>
                <v:stroke color="#000000" joinstyle="round"/>
                <v:imagedata o:title=""/>
                <o:lock v:ext="edit" aspectratio="f"/>
              </v:line>
            </w:pict>
          </mc:Fallback>
        </mc:AlternateContent>
      </w:r>
    </w:p>
    <w:p>
      <w:pPr>
        <w:spacing w:after="0" w:line="440" w:lineRule="exact"/>
        <w:ind w:left="-84" w:leftChars="-40" w:right="-103" w:rightChars="-49" w:firstLine="252" w:firstLineChars="90"/>
        <w:rPr>
          <w:rFonts w:hint="default" w:ascii="Times New Roman" w:hAnsi="Times New Roman" w:eastAsia="楷体_GB2312"/>
          <w:color w:val="auto"/>
          <w:sz w:val="28"/>
          <w:szCs w:val="28"/>
        </w:rPr>
      </w:pPr>
      <w:r>
        <w:rPr>
          <w:rFonts w:hint="default" w:ascii="Times New Roman" w:hAnsi="Times New Roman" w:eastAsia="楷体_GB2312"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-48260</wp:posOffset>
                </wp:positionH>
                <wp:positionV relativeFrom="paragraph">
                  <wp:posOffset>368300</wp:posOffset>
                </wp:positionV>
                <wp:extent cx="561594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8pt;margin-top:29pt;height:0pt;width:442.2pt;z-index:251660288;mso-width-relative:page;mso-height-relative:page;" filled="f" stroked="t" coordsize="21600,21600" o:gfxdata="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Na/51gAAAAgBAAAPAAAAAAAAAAEAIAAAADgAAABkcnMvZG93bnJldi54bWxQSwECFAAU&#10;AAAACACHTuJAojXn0d0BAACZAwAADgAAAAAAAAABACAAAAA7AQAAZHJzL2Uyb0RvYy54bWxQSwUG&#10;AAAAAAYABgBZAQAAigUAAAAA&#10;">
                <v:fill on="f" focussize="0,0"/>
                <v:stroke color="#000000" joinstyle="round"/>
                <v:imagedata o:title=""/>
                <o:lock v:ext="edit" aspectratio="f"/>
              </v:line>
            </w:pict>
          </mc:Fallback>
        </mc:AlternateContent>
      </w:r>
      <w:r>
        <w:rPr>
          <w:rFonts w:hint="default" w:ascii="Times New Roman" w:hAnsi="Times New Roman" w:eastAsia="楷体_GB2312" w:cs="Times New Roman"/>
          <w:color w:val="auto"/>
          <w:sz w:val="28"/>
          <w:szCs w:val="28"/>
        </w:rPr>
        <w:t>县十八届人大</w:t>
      </w:r>
      <w:r>
        <w:rPr>
          <w:rFonts w:hint="eastAsia" w:ascii="Times New Roman" w:hAnsi="Times New Roman" w:eastAsia="楷体_GB2312" w:cs="Times New Roman"/>
          <w:color w:val="auto"/>
          <w:sz w:val="28"/>
          <w:szCs w:val="28"/>
          <w:lang w:val="en-US" w:eastAsia="zh-CN"/>
        </w:rPr>
        <w:t>六</w:t>
      </w:r>
      <w:r>
        <w:rPr>
          <w:rFonts w:hint="default" w:ascii="Times New Roman" w:hAnsi="Times New Roman" w:eastAsia="楷体_GB2312" w:cs="Times New Roman"/>
          <w:color w:val="auto"/>
          <w:sz w:val="28"/>
          <w:szCs w:val="28"/>
        </w:rPr>
        <w:t>次会议秘书处                       202</w:t>
      </w:r>
      <w:r>
        <w:rPr>
          <w:rFonts w:hint="eastAsia" w:ascii="Times New Roman" w:hAnsi="Times New Roman" w:eastAsia="楷体_GB2312" w:cs="Times New Roman"/>
          <w:color w:val="auto"/>
          <w:sz w:val="28"/>
          <w:szCs w:val="28"/>
          <w:lang w:val="en-US" w:eastAsia="zh-CN"/>
        </w:rPr>
        <w:t>5</w:t>
      </w:r>
      <w:r>
        <w:rPr>
          <w:rFonts w:hint="default" w:ascii="Times New Roman" w:hAnsi="Times New Roman" w:eastAsia="楷体_GB2312" w:cs="Times New Roman"/>
          <w:color w:val="auto"/>
          <w:sz w:val="28"/>
          <w:szCs w:val="28"/>
        </w:rPr>
        <w:t>年</w:t>
      </w:r>
      <w:r>
        <w:rPr>
          <w:rFonts w:hint="eastAsia" w:ascii="Times New Roman" w:hAnsi="Times New Roman" w:eastAsia="楷体_GB2312" w:cs="Times New Roman"/>
          <w:color w:val="auto"/>
          <w:sz w:val="28"/>
          <w:szCs w:val="28"/>
          <w:lang w:val="en-US" w:eastAsia="zh-CN"/>
        </w:rPr>
        <w:t>5</w:t>
      </w:r>
      <w:r>
        <w:rPr>
          <w:rFonts w:hint="default" w:ascii="Times New Roman" w:hAnsi="Times New Roman" w:eastAsia="楷体_GB2312" w:cs="Times New Roman"/>
          <w:color w:val="auto"/>
          <w:sz w:val="28"/>
          <w:szCs w:val="28"/>
        </w:rPr>
        <w:t>月</w:t>
      </w:r>
    </w:p>
    <w:sectPr>
      <w:pgSz w:w="11906" w:h="16838"/>
      <w:pgMar w:top="2098" w:right="1587" w:bottom="1984" w:left="1587" w:header="851" w:footer="141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rPr>
        <w:rFonts w:cs="Times New Roma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9"/>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rg6jf7QBAABSAwAADgAAAAAAAAABACAAAAA0AQAAZHJzL2Uyb0Rv&#10;Yy54bWxQSwUGAAAAAAYABgBZAQAAWgUAAAAA&#10;">
              <v:fill on="f" focussize="0,0"/>
              <v:stroke on="f"/>
              <v:imagedata o:title=""/>
              <o:lock v:ext="edit" aspectratio="f"/>
              <v:textbox inset="0mm,0mm,0mm,0mm" style="mso-fit-shape-to-text:t;">
                <w:txbxContent>
                  <w:p>
                    <w:pPr>
                      <w:pStyle w:val="9"/>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51D601"/>
    <w:multiLevelType w:val="singleLevel"/>
    <w:tmpl w:val="1051D60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kNDZmMDhjNWE2M2EwNTEwODIxZjE2YzNmNTAyYWEifQ=="/>
  </w:docVars>
  <w:rsids>
    <w:rsidRoot w:val="00000000"/>
    <w:rsid w:val="0154123E"/>
    <w:rsid w:val="030A5144"/>
    <w:rsid w:val="034C6415"/>
    <w:rsid w:val="058C7E64"/>
    <w:rsid w:val="06011BE0"/>
    <w:rsid w:val="088607EF"/>
    <w:rsid w:val="095E1C6B"/>
    <w:rsid w:val="0B3641CE"/>
    <w:rsid w:val="0BC164C6"/>
    <w:rsid w:val="0CD71A06"/>
    <w:rsid w:val="0EB554B3"/>
    <w:rsid w:val="0FFEA675"/>
    <w:rsid w:val="10F64F02"/>
    <w:rsid w:val="1186510F"/>
    <w:rsid w:val="11EC2448"/>
    <w:rsid w:val="12AD33CD"/>
    <w:rsid w:val="13F40593"/>
    <w:rsid w:val="15031112"/>
    <w:rsid w:val="173B3C17"/>
    <w:rsid w:val="17B2302E"/>
    <w:rsid w:val="180A2E6A"/>
    <w:rsid w:val="1877480D"/>
    <w:rsid w:val="19012B93"/>
    <w:rsid w:val="19417610"/>
    <w:rsid w:val="1AFB7E37"/>
    <w:rsid w:val="1F4F07A8"/>
    <w:rsid w:val="1FF53FAA"/>
    <w:rsid w:val="20684BD2"/>
    <w:rsid w:val="22721FB6"/>
    <w:rsid w:val="26A30712"/>
    <w:rsid w:val="280C6F05"/>
    <w:rsid w:val="2DC2784C"/>
    <w:rsid w:val="2DFFFF34"/>
    <w:rsid w:val="2E513149"/>
    <w:rsid w:val="2E890260"/>
    <w:rsid w:val="3004269D"/>
    <w:rsid w:val="31375A23"/>
    <w:rsid w:val="3235450B"/>
    <w:rsid w:val="33545867"/>
    <w:rsid w:val="36CF182F"/>
    <w:rsid w:val="37391E45"/>
    <w:rsid w:val="37DC1286"/>
    <w:rsid w:val="38F379CA"/>
    <w:rsid w:val="39156097"/>
    <w:rsid w:val="3B003F2D"/>
    <w:rsid w:val="3B511FF5"/>
    <w:rsid w:val="3E5E7509"/>
    <w:rsid w:val="3E6447D3"/>
    <w:rsid w:val="3ED3459E"/>
    <w:rsid w:val="40751870"/>
    <w:rsid w:val="410C3C9A"/>
    <w:rsid w:val="4694757F"/>
    <w:rsid w:val="471A70C4"/>
    <w:rsid w:val="4739232A"/>
    <w:rsid w:val="474A0C9A"/>
    <w:rsid w:val="4A182AF5"/>
    <w:rsid w:val="4AAB684F"/>
    <w:rsid w:val="4BD226E3"/>
    <w:rsid w:val="4BFF36A0"/>
    <w:rsid w:val="4CB132D9"/>
    <w:rsid w:val="4D1A535E"/>
    <w:rsid w:val="4DBFB752"/>
    <w:rsid w:val="4F175CBB"/>
    <w:rsid w:val="4F7E56E8"/>
    <w:rsid w:val="4F9C7E51"/>
    <w:rsid w:val="517F3380"/>
    <w:rsid w:val="51FA636F"/>
    <w:rsid w:val="539811C5"/>
    <w:rsid w:val="540D2741"/>
    <w:rsid w:val="55236D3E"/>
    <w:rsid w:val="55CD67F4"/>
    <w:rsid w:val="57F0387C"/>
    <w:rsid w:val="586616BE"/>
    <w:rsid w:val="5D5C103F"/>
    <w:rsid w:val="5D5E6B65"/>
    <w:rsid w:val="5F5321E2"/>
    <w:rsid w:val="630D59DD"/>
    <w:rsid w:val="63BD1147"/>
    <w:rsid w:val="63C2695E"/>
    <w:rsid w:val="64DE1E51"/>
    <w:rsid w:val="65647C59"/>
    <w:rsid w:val="656E69A2"/>
    <w:rsid w:val="65DC7FDB"/>
    <w:rsid w:val="67A7CB3C"/>
    <w:rsid w:val="6A470AED"/>
    <w:rsid w:val="6B51051C"/>
    <w:rsid w:val="6E2F5181"/>
    <w:rsid w:val="6F9B040A"/>
    <w:rsid w:val="6FDD5631"/>
    <w:rsid w:val="70294DB1"/>
    <w:rsid w:val="710145DF"/>
    <w:rsid w:val="716D52AB"/>
    <w:rsid w:val="71DD636C"/>
    <w:rsid w:val="75403FC0"/>
    <w:rsid w:val="763B7585"/>
    <w:rsid w:val="772411D0"/>
    <w:rsid w:val="79890D83"/>
    <w:rsid w:val="7A842075"/>
    <w:rsid w:val="7B19748A"/>
    <w:rsid w:val="7DFA3BB6"/>
    <w:rsid w:val="7DFB755A"/>
    <w:rsid w:val="7EF307CF"/>
    <w:rsid w:val="7F9ED661"/>
    <w:rsid w:val="BFD7898F"/>
    <w:rsid w:val="BFFF1D24"/>
    <w:rsid w:val="EF7F1FF2"/>
    <w:rsid w:val="F4FF29BA"/>
    <w:rsid w:val="F5FF2131"/>
    <w:rsid w:val="F74F7325"/>
    <w:rsid w:val="F9EBFB55"/>
    <w:rsid w:val="F9F6962A"/>
    <w:rsid w:val="FD7670FE"/>
    <w:rsid w:val="FDF7B9EF"/>
    <w:rsid w:val="FDFDF6D5"/>
    <w:rsid w:val="FFE753AF"/>
    <w:rsid w:val="FFF6A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880" w:firstLineChars="200"/>
    </w:pPr>
    <w:rPr>
      <w:rFonts w:ascii="Times New Roman" w:hAnsi="Times New Roman" w:cs="Times New Roman"/>
    </w:rPr>
  </w:style>
  <w:style w:type="paragraph" w:styleId="3">
    <w:name w:val="Body Text Indent"/>
    <w:basedOn w:val="1"/>
    <w:next w:val="4"/>
    <w:qFormat/>
    <w:uiPriority w:val="99"/>
    <w:pPr>
      <w:ind w:firstLine="630"/>
    </w:pPr>
  </w:style>
  <w:style w:type="paragraph" w:styleId="4">
    <w:name w:val="Body Text"/>
    <w:basedOn w:val="1"/>
    <w:next w:val="1"/>
    <w:qFormat/>
    <w:uiPriority w:val="99"/>
    <w:pPr>
      <w:spacing w:after="120"/>
    </w:pPr>
  </w:style>
  <w:style w:type="paragraph" w:styleId="7">
    <w:name w:val="Normal Indent"/>
    <w:basedOn w:val="1"/>
    <w:qFormat/>
    <w:uiPriority w:val="99"/>
    <w:pPr>
      <w:ind w:firstLine="420" w:firstLineChars="200"/>
    </w:pPr>
  </w:style>
  <w:style w:type="paragraph" w:styleId="8">
    <w:name w:val="toc 5"/>
    <w:basedOn w:val="1"/>
    <w:next w:val="1"/>
    <w:qFormat/>
    <w:uiPriority w:val="0"/>
    <w:pPr>
      <w:ind w:left="1680" w:leftChars="800"/>
    </w:p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styleId="16">
    <w:name w:val="page number"/>
    <w:basedOn w:val="14"/>
    <w:qFormat/>
    <w:uiPriority w:val="0"/>
  </w:style>
  <w:style w:type="character" w:styleId="17">
    <w:name w:val="Emphasis"/>
    <w:basedOn w:val="14"/>
    <w:qFormat/>
    <w:uiPriority w:val="0"/>
    <w:rPr>
      <w:i/>
    </w:rPr>
  </w:style>
  <w:style w:type="paragraph" w:customStyle="1" w:styleId="18">
    <w:name w:val="BodyText1I2"/>
    <w:basedOn w:val="19"/>
    <w:qFormat/>
    <w:uiPriority w:val="0"/>
    <w:pPr>
      <w:ind w:firstLine="420" w:firstLineChars="200"/>
    </w:pPr>
  </w:style>
  <w:style w:type="paragraph" w:customStyle="1" w:styleId="19">
    <w:name w:val="BodyTextIndent"/>
    <w:basedOn w:val="1"/>
    <w:qFormat/>
    <w:uiPriority w:val="0"/>
    <w:pPr>
      <w:spacing w:after="120"/>
      <w:ind w:left="420" w:leftChars="200"/>
    </w:pPr>
  </w:style>
  <w:style w:type="paragraph" w:customStyle="1" w:styleId="20">
    <w:name w:val="BodyText1I"/>
    <w:basedOn w:val="1"/>
    <w:qFormat/>
    <w:uiPriority w:val="99"/>
    <w:pPr>
      <w:spacing w:after="120"/>
      <w:ind w:firstLine="420" w:firstLineChars="10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11177</Words>
  <Characters>11443</Characters>
  <Lines>0</Lines>
  <Paragraphs>0</Paragraphs>
  <TotalTime>6</TotalTime>
  <ScaleCrop>false</ScaleCrop>
  <LinksUpToDate>false</LinksUpToDate>
  <CharactersWithSpaces>11610</CharactersWithSpaces>
  <Application>WPS Office_11.8.2.1111_F1E327BC-269C-435d-A152-05C5408002CA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2024-12-01T17:30:00Z</dcterms:created>
  <dc:creator>Administrator</dc:creator>
  <cp:lastModifiedBy>LNS</cp:lastModifiedBy>
  <cp:lastPrinted>2025-05-23T10:31:00Z</cp:lastPrinted>
  <dcterms:modified xsi:type="dcterms:W3CDTF">2026-08-31T15:53:33Z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y fmtid="{D5CDD505-2E9C-101B-9397-08002B2CF9AE}" pid="3" name="ICV">
    <vt:lpwstr>E588225AC01D4252A6113425AE857DA1_13</vt:lpwstr>
  </property>
  <property fmtid="{D5CDD505-2E9C-101B-9397-08002B2CF9AE}" pid="4" name="KSOTemplateDocerSaveRecord">
    <vt:lpwstr>eyJoZGlkIjoiODM3YjUxNWMxYzkxZTgxY2Y2NTMzMmI4MTk2MDhhZDciLCJ1c2VySWQiOiI0NDI2OTcwNTYifQ==</vt:lpwstr>
  </property>
</Properties>
</file>